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spacing w:lineRule="auto" w:line="360" w:before="0" w:after="0"/>
        <w:ind w:left="0" w:right="0" w:hanging="0"/>
        <w:jc w:val="center"/>
        <w:rPr>
          <w:rFonts w:ascii="arial" w:hAnsi="arial"/>
          <w:sz w:val="22"/>
          <w:szCs w:val="22"/>
        </w:rPr>
      </w:pPr>
      <w:r>
        <w:rPr>
          <w:rFonts w:cs="Calibri" w:ascii="arial" w:hAnsi="arial"/>
          <w:b/>
          <w:bCs/>
          <w:sz w:val="22"/>
          <w:szCs w:val="22"/>
        </w:rPr>
        <w:t>ANEXO II – ESTUDO TÉCNICO PRELIMINAR /MAPA DE RISCO</w:t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Normal"/>
        <w:jc w:val="center"/>
        <w:rPr>
          <w:rFonts w:cs="Calibri"/>
          <w:b/>
          <w:b/>
          <w:bCs/>
        </w:rPr>
      </w:pPr>
      <w:r>
        <w:rPr>
          <w:rFonts w:cs="Calibri"/>
          <w:b/>
          <w:bCs/>
        </w:rPr>
      </w:r>
    </w:p>
    <w:p>
      <w:pPr>
        <w:pStyle w:val="Ttulo1"/>
        <w:shd w:val="clear" w:color="auto" w:fill="D9D9D9"/>
        <w:spacing w:lineRule="auto" w:line="360" w:before="92" w:after="0"/>
        <w:ind w:left="0" w:right="-28" w:hanging="0"/>
        <w:jc w:val="center"/>
        <w:rPr/>
      </w:pPr>
      <w:r>
        <w:rPr>
          <w:rFonts w:cs="Times New Roman" w:ascii="Times New Roman" w:hAnsi="Times New Roman"/>
        </w:rPr>
        <w:t>ESTUDO</w:t>
      </w:r>
      <w:r>
        <w:rPr>
          <w:rFonts w:cs="Times New Roman" w:ascii="Times New Roman" w:hAnsi="Times New Roman"/>
          <w:spacing w:val="-3"/>
        </w:rPr>
        <w:t xml:space="preserve"> </w:t>
      </w:r>
      <w:r>
        <w:rPr>
          <w:rFonts w:cs="Times New Roman" w:ascii="Times New Roman" w:hAnsi="Times New Roman"/>
        </w:rPr>
        <w:t>TÉCNICO</w:t>
      </w:r>
      <w:r>
        <w:rPr>
          <w:rFonts w:cs="Times New Roman" w:ascii="Times New Roman" w:hAnsi="Times New Roman"/>
          <w:spacing w:val="-4"/>
        </w:rPr>
        <w:t xml:space="preserve"> </w:t>
      </w:r>
      <w:r>
        <w:rPr>
          <w:rFonts w:cs="Times New Roman" w:ascii="Times New Roman" w:hAnsi="Times New Roman"/>
        </w:rPr>
        <w:t>PRELIMINAR</w:t>
      </w:r>
    </w:p>
    <w:p>
      <w:pPr>
        <w:pStyle w:val="Ttulo1"/>
        <w:shd w:val="clear" w:color="auto" w:fill="D9D9D9"/>
        <w:spacing w:lineRule="auto" w:line="360" w:before="92" w:after="0"/>
        <w:ind w:left="0" w:right="-28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SECRETARIA MUNICIPAL DE EDUCAÇÃO</w:t>
      </w:r>
    </w:p>
    <w:p>
      <w:pPr>
        <w:pStyle w:val="Corpodotexto"/>
        <w:spacing w:lineRule="auto" w:line="36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ListParagraph"/>
        <w:widowControl/>
        <w:shd w:val="clear" w:color="auto" w:fill="D9D9D9"/>
        <w:spacing w:lineRule="auto" w:line="360" w:before="0" w:after="160"/>
        <w:ind w:left="0" w:hanging="360"/>
        <w:contextualSpacing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1 INTRODUÇÃO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 xml:space="preserve">1.1 A educação representa um alicerce fundamental para o desenvolvimento social, econômico e cultural de qualquer comunidade. Em Paranaguá, a Secretaria Municipal de Educação tem como meta central proporcionar um ambiente de ensino organizado e acessível a todos os alunos e educadores da rede pública. Com esse propósito, a </w:t>
      </w:r>
      <w:r>
        <w:rPr>
          <w:rFonts w:cs="Arial" w:ascii="Arial" w:hAnsi="Arial"/>
          <w:b/>
          <w:bCs/>
          <w:sz w:val="24"/>
          <w:szCs w:val="24"/>
        </w:rPr>
        <w:t>AQUISIÇÃO   DE UNIFORMES, TENIS E MOCHILA,</w:t>
      </w:r>
      <w:r>
        <w:rPr>
          <w:rFonts w:cs="Arial" w:ascii="Arial" w:hAnsi="Arial"/>
          <w:sz w:val="24"/>
          <w:szCs w:val="24"/>
        </w:rPr>
        <w:t xml:space="preserve"> escolares busca garantir que cada estudante esteja adequadamente uniformizado para frequentar as atividades escolares com conforto, segurança e pertencimento, independentemente de sua condição socioeconômica. Essa medida se mostra ainda mais necessária diante das dificuldades enfrentadas por alunos em situação de vulnerabilidade, assegurando que todos possam iniciar e acompanhar o ano letivo com dignidade. Comprometido com essa responsabilidade, o Município de Paranaguá realiza o processo de aquisição de forma responsável e transparente, respeitando os princípios que regem a administração pública e zelando pela correta destinação dos recursos públicos.</w:t>
      </w:r>
    </w:p>
    <w:p>
      <w:pPr>
        <w:pStyle w:val="ListParagraph"/>
        <w:widowControl/>
        <w:tabs>
          <w:tab w:val="clear" w:pos="720"/>
          <w:tab w:val="left" w:pos="480" w:leader="none"/>
        </w:tabs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>
        <w:rPr>
          <w:rFonts w:cs="Arial" w:ascii="Arial" w:hAnsi="Arial"/>
          <w:bCs/>
          <w:sz w:val="24"/>
          <w:szCs w:val="24"/>
          <w:highlight w:val="lightGray"/>
          <w:u w:val="single"/>
        </w:rPr>
        <w:t>2. IDENTIFICAÇÃO DA DEMANDA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2.1 A presente contratação tem por finalidade atender à </w:t>
      </w:r>
      <w:r>
        <w:rPr>
          <w:rFonts w:cs="Arial" w:ascii="Arial" w:hAnsi="Arial"/>
          <w:bCs/>
          <w:sz w:val="24"/>
        </w:rPr>
        <w:t>necessidade da Secretaria Municipal de Educação</w:t>
      </w:r>
      <w:r>
        <w:rPr>
          <w:rFonts w:cs="Arial" w:ascii="Arial" w:hAnsi="Arial"/>
          <w:sz w:val="24"/>
        </w:rPr>
        <w:t xml:space="preserve"> do Município de Paranaguá, referente ao fornecimento de </w:t>
      </w:r>
      <w:r>
        <w:rPr>
          <w:rFonts w:cs="Arial" w:ascii="Arial" w:hAnsi="Arial"/>
          <w:b/>
          <w:bCs/>
          <w:sz w:val="24"/>
        </w:rPr>
        <w:t>AQUISIÇÃO   DE UNIFORMES, TENIS E MOCHILA</w:t>
      </w:r>
      <w:r>
        <w:rPr>
          <w:rFonts w:cs="Arial" w:ascii="Arial" w:hAnsi="Arial"/>
          <w:sz w:val="24"/>
        </w:rPr>
        <w:t xml:space="preserve"> </w:t>
      </w:r>
      <w:r>
        <w:rPr>
          <w:rFonts w:cs="Arial" w:ascii="Arial" w:hAnsi="Arial"/>
          <w:bCs/>
          <w:sz w:val="24"/>
        </w:rPr>
        <w:t xml:space="preserve">escolares </w:t>
      </w:r>
      <w:r>
        <w:rPr>
          <w:rFonts w:cs="Arial" w:ascii="Arial" w:hAnsi="Arial"/>
          <w:sz w:val="24"/>
        </w:rPr>
        <w:t xml:space="preserve"> destinados aos alunos da rede pública municipal de ensino, abrangendo </w:t>
      </w:r>
      <w:r>
        <w:rPr>
          <w:rFonts w:cs="Arial" w:ascii="Arial" w:hAnsi="Arial"/>
          <w:bCs/>
          <w:sz w:val="24"/>
        </w:rPr>
        <w:t>Educação Infantil e Ensino Fundamental I e II</w:t>
      </w:r>
      <w:r>
        <w:rPr>
          <w:rFonts w:cs="Arial" w:ascii="Arial" w:hAnsi="Arial"/>
          <w:sz w:val="24"/>
        </w:rPr>
        <w:t>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2.2 A demanda decorre da necessidade de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padronização visual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identificação dos estudantes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promoção da igualdade social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garantindo que todos os alunos tenham acesso a vestimentas adequadas ao ambiente escolar, em conformidade com 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planejamento anual da Secretaria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com o calendário letivo vigente.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2.3 O fornecimento dos </w:t>
      </w:r>
      <w:r>
        <w:rPr>
          <w:rFonts w:eastAsia="Times New Roman" w:cs="Arial" w:ascii="Arial" w:hAnsi="Arial"/>
          <w:b/>
          <w:bCs/>
          <w:sz w:val="24"/>
          <w:szCs w:val="24"/>
          <w:lang w:val="pt-BR" w:eastAsia="pt-BR"/>
        </w:rPr>
        <w:t>UNIFORMES, TENIS E MOCHILA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visa substituir os conjuntos utilizados em anos anteriores, que já se encontram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desgastados pelo uso contínuo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e suprir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novas matrículas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da rede pública municipal, de modo a assegurar o pleno atendimento a todos os alunos matriculados no ano letivo subsequente.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2.4 A contratação é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recorrente e essencial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para o desenvolvimento das atividades educacionais, estando prevista no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Plano Plurianual (PPA)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na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Lei Orçamentária Anual (LOA)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dentro do programa de manutenção e desenvolvimento do ensino.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2.5 A identificação da demanda foi formalizada mediante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solicitação da Secretaria Municipal de Educação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encaminhada ao Departamento de Compras, acompanhada do levantamento quantitativo de alunos matriculados e projeção de crescimento da rede municipal para o exercício de 2026, servindo como base para a estimativa de quantitativos no Termo de Referência e na Pesquisa de Preços.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3. DESTINAÇÃO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3.1 A presente contratação tem por objeto a AQUISIÇÃO   DE UNIFORMES, TENIS E MOCHILA escolares, compreendendo vestuário padronizado, bem como itens complementares como meias e calçados, com vistas à distribuição gratuita aos estudantes regularmente matriculados na Rede Pública Municipal de Ensino de Paranaguá/PR.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3.2 Essa  destinação  atenderá, de forma equitativa e universal, a totalidade dos discentes pertencentes às seguintes etapas da educação básica, sob competência do ente municipal: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3.3 Educação Infantil: incluindo os alunos das creches e pré-escolas, cujas unidades são responsáveis pelo atendimento educacional de crianças na primeira infância (0 a 5 anos), em conformidade com os artigos 29 e 30 da Lei nº 9.394/1996 (LDB);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Ensino Fundamental – Anos Iniciais (1º ao 5º ano) e Anos Finais (6º ao 9º ano): abrangendo todos os estudantes que compõem a etapa de escolarização obrigatória, conforme previsão constitucional (art. 208, inciso I, da CF/88) e as diretrizes do Plano Nacional de Educação (Lei nº 13.005/2014);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3.4 Educação de Jovens e Adultos – EJA: contemplando os educandos inseridos na modalidade de ensino voltada àqueles que não concluíram a educação básica na idade regular, promovendo o direito à educação continuada e à inserção social de jovens, adultos e idosos.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3.5 A destinação dos UNIFORMES, TENIS E MOCHILA visa assegurar não apenas a cobertura universal do público-alvo da política educacional municipal, mas também fomentar a equidade no acesso e permanência escolar. O fornecimento de vestuário escolar padronizado representa uma ação estratégica no campo da gestão educacional, uma vez que contribui diretamente para: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3.6 A uniformização da imagem institucional da rede municipal de ensino, fortalecendo o vínculo entre os estudantes e as unidades escolares;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3.7 A promoção da segurança escolar, ao possibilitar a fácil identificação dos alunos tanto no ambiente interno das escolas quanto em deslocamentos externos (trajetos casa-escola);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3.8 A redução das desigualdades socioeconômicas, ao garantir que todos os estudantes tenham acesso a vestimentas adequadas, independentemente da condição financeira de suas famílias;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3.9 A valorização da permanência e assiduidade escolar, ao eliminar barreiras materiais que possam impactar negativamente o engajamento e o rendimento escolar.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3.10 Do ponto de vista administrativo, a entrega dos UNIFORMES, TENIS E MOCHILA será realizada conforme cronograma a ser elaborado pela Secretaria Municipal de Educação, com base no quantitativo de matrículas efetivas em cada unidade educacional. A operacionalização da distribuição deverá ocorrer de forma centralizada, segura e transparente, observando os princípios da eficiência, economicidade, equidade e publicidade, nos termos da Lei nº 14.133/2021 (nova Lei de Licitações e Contratos Administrativos).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3.11 Ressalta-se, por fim, que a presente política pública de fornecimento gratuito de uniformes escolares encontra respaldo legal na Constituição Federal (arts. 205 e 208), na LDB (Lei nº 9.394/1996), no Plano Nacional de Educação (Lei nº 13.005/2014), e nas diretrizes de proteção integral da criança e do adolescente (art. 4º do Estatuto da Criança e do Adolescente – Lei nº 8.069/1990), estando plenamente compatível com os objetivos estratégicos da gestão educacional municipal e com os compromissos assumidos pela Administração Pública em relação à promoção da cidadania, da dignidade humana e da universalização do ensino de qualidade.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4. NECESSIDADE E JUSTIFICATIVA DA CONTRATAÇÃO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4.1 A presente contratação tem como finalidade atender às necessidades da rede pública de ensino do Município de Paranaguá, por meio da aAQUISIÇÃO   DE UNIFORMES, TENIS E MOCHILA , para distribuição gratuita aos estudantes regularmente matriculados. A medida integra a política municipal de valorização da educação básica, alinhando-se aos princípios constitucionais de equidade, dignidade, segurança e permanência dos alunos no ambiente escolar.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4.2 A padronização da vestimenta escolar representa um importante instrumento de gestão pedagógica e social, contribuindo diretamente para a promoção da igualdade de condições entre os estudantes. O uso do uniforme possibilita a identificação dos discentes dentro e fora da unidade de ensino, promovendo maior segurança no trajeto e nas dependências escolares, além de reforçar o sentimento de pertencimento à comunidade escolar e favorecer a disciplina.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4.3 Adicionalmente, o fornecimento de UNIFORMES, TENIS E MOCHILA adequados se justifica pela realidade socioeconômica de parte significativa dos alunos da rede, muitos dos quais percorrem longas distâncias até a escola, enfrentando adversidades climáticas e condições precárias de infraestrutura urbana e rural. Tais itens são essenciais à proteção da integridade física dos estudantes, evitando lesões, doenças dermatológicas e outras ocorrências que possam comprometer sua saúde e assiduidade escolar.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4.4 Do ponto de vista socioeconômico, a iniciativa representa um relevante alívio orçamentário para as famílias em situação de vulnerabilidade, mitigando os custos relacionados ao ingresso e permanência dos filhos na escola. A ausência de uniforme pode se configurar como fator indireto de evasão ou exclusão escolar, o que torna sua disponibilização uma estratégia de inclusão e permanência.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4.5 Sob a ótica legal, a medida encontra amparo na Lei de Diretrizes e Bases da Educação Nacional (Lei nº 9.394/1996), que estabelece, nos artigos 2º e 4º, o dever do Estado em garantir condições adequadas de acesso e permanência na educação básica. Também está em consonância com o Plano Nacional de Educação (Lei nº 13.005/2014), especialmente no que se refere às metas de redução das desigualdades e universalização do acesso à educação com qualidade.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4.6 A Constituição Federal de 1988, em seus artigos 205 e 208, reforça que é dever do Estado assegurar a educação como direito de todos, cabendo-lhe garantir os meios necessários para sua efetividade, inclusive por meio da assistência material. Nesse contexto, a entrega de uniformes, com seus componentes acessórios, constitui ação concreta voltada à consolidação do direito à educação plena.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4.7 No âmbito das contratações públicas, a aquisição dos uniformes está respaldada na Lei nº 14.133/2021 (Nova Lei de Licitações e Contratos), especialmente no artigo 11, que estabelece como princípios da contratação pública a promoção do desenvolvimento sustentável e a busca pela eficiência na utilização dos recursos públicos. Ao investir na compra de uniformes escolares, a Administração Municipal adota uma medida com reflexos diretos na melhoria do desempenho escolar, na redução das desigualdades e na racionalização de políticas assistenciais.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4.8 Diante do exposto, a presente contratação se mostra tecnicamente justificada, atendendo não apenas a uma demanda social relevante, mas também aos fundamentos legais e administrativos que regem as políticas públicas educacionais. A aquisição e distribuição gratuita de UNIFORMES, TENIS E MOCHILA escolares completos representa uma ação estratégica da Prefeitura de Paranaguá no fortalecimento do acesso, permanência e sucesso dos alunos no sistema educacional, reafirmando o compromisso do Município com uma educação pública de qualidade, inclusiva e igualitária.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>
        <w:rPr>
          <w:rFonts w:cs="Arial" w:ascii="Arial" w:hAnsi="Arial"/>
          <w:bCs/>
          <w:sz w:val="24"/>
          <w:szCs w:val="24"/>
          <w:highlight w:val="lightGray"/>
          <w:u w:val="single"/>
        </w:rPr>
        <w:t>5. MOTIVAÇÃO DA CONTRATAÇÃO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5.1 O Pregão Eletrônico com sistema Registro de Preços representa uma solução eficiente e vantajosa para a Administração Pública, permitindo: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• </w:t>
      </w:r>
      <w:r>
        <w:rPr>
          <w:rFonts w:cs="Arial" w:ascii="Arial" w:hAnsi="Arial"/>
          <w:sz w:val="24"/>
          <w:szCs w:val="24"/>
        </w:rPr>
        <w:t>A uniformização aos alunos da rede municipal de ensino;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• </w:t>
      </w:r>
      <w:r>
        <w:rPr>
          <w:rFonts w:cs="Arial" w:ascii="Arial" w:hAnsi="Arial"/>
          <w:sz w:val="24"/>
          <w:szCs w:val="24"/>
        </w:rPr>
        <w:t>Padronização e qualidade nos materiais/serviços fornecidos.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6 INSTRUMENTO DE PLANEJAMENTO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6.1 A presente contratação encontra-se em consonância com o planejamento estratégico da Secretaria Municipal de Educação de Paranaguá/PR, bem como com os objetivos institucionais da Administração Pública Municipal. Atualmente, o Município está em fase de elaboração do seu Plano Anual de Contratações (PAC), o qual, embora ainda não formalizado por meio de publicação oficial, vem sendo estruturado com base em diagnósticos técnicos e levantamento das reais necessidades da rede pública de ensino. Tal processo busca assegurar que as aquisições sejam realizadas de forma planejada, eficiente e alinhada às políticas públicas setoriais e às diretrizes de gestão estratégica.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6.2 Ressalta-se, por oportuno, que a obrigatoriedade de elaboração e publicação formal do Plano Anual de Contratações é imposta apenas aos órgãos da Administração Pública Federal, nos termos da legislação vigente, não se estendendo de forma compulsória aos entes municipais. Ainda assim, a Prefeitura de Paranaguá adota, de forma proativa, práticas de planejamento com o objetivo de fortalecer a governança, a transparência e a eficiência na aplicação dos recursos públicos.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7 MODALIDADE DE LICITAÇÃO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bCs/>
          <w:color w:val="000000"/>
          <w:sz w:val="24"/>
        </w:rPr>
        <w:t xml:space="preserve">7.1 </w:t>
      </w:r>
      <w:r>
        <w:rPr>
          <w:rFonts w:cs="Arial" w:ascii="Arial" w:hAnsi="Arial"/>
          <w:sz w:val="24"/>
        </w:rPr>
        <w:t xml:space="preserve">A escolha da </w:t>
      </w:r>
      <w:r>
        <w:rPr>
          <w:rFonts w:cs="Arial" w:ascii="Arial" w:hAnsi="Arial"/>
          <w:bCs/>
          <w:sz w:val="24"/>
        </w:rPr>
        <w:t>modalidade Pregão</w:t>
      </w:r>
      <w:r>
        <w:rPr>
          <w:rFonts w:cs="Arial" w:ascii="Arial" w:hAnsi="Arial"/>
          <w:sz w:val="24"/>
        </w:rPr>
        <w:t xml:space="preserve">, na forma </w:t>
      </w:r>
      <w:r>
        <w:rPr>
          <w:rFonts w:cs="Arial" w:ascii="Arial" w:hAnsi="Arial"/>
          <w:bCs/>
          <w:sz w:val="24"/>
        </w:rPr>
        <w:t>Eletrônica</w:t>
      </w:r>
      <w:r>
        <w:rPr>
          <w:rFonts w:cs="Arial" w:ascii="Arial" w:hAnsi="Arial"/>
          <w:sz w:val="24"/>
        </w:rPr>
        <w:t xml:space="preserve">, com </w:t>
      </w:r>
      <w:r>
        <w:rPr>
          <w:rFonts w:cs="Arial" w:ascii="Arial" w:hAnsi="Arial"/>
          <w:bCs/>
          <w:sz w:val="24"/>
        </w:rPr>
        <w:t>adoção do Sistema de Registro de Preços (SRP)</w:t>
      </w:r>
      <w:r>
        <w:rPr>
          <w:rFonts w:cs="Arial" w:ascii="Arial" w:hAnsi="Arial"/>
          <w:sz w:val="24"/>
        </w:rPr>
        <w:t>, mostra-se a mais adequada e vantajosa para a presente contratação, tendo em vista as características do objeto — UNIFORMES, TENIS E MOCHILA</w:t>
      </w:r>
      <w:r>
        <w:rPr>
          <w:rFonts w:cs="Arial" w:ascii="Arial" w:hAnsi="Arial"/>
          <w:bCs/>
          <w:sz w:val="24"/>
        </w:rPr>
        <w:t xml:space="preserve"> escolares padronizados</w:t>
      </w:r>
      <w:r>
        <w:rPr>
          <w:rFonts w:cs="Arial" w:ascii="Arial" w:hAnsi="Arial"/>
          <w:sz w:val="24"/>
        </w:rPr>
        <w:t xml:space="preserve">, compostos por itens comuns de consumo e fornecimento contínuo, cujos </w:t>
      </w:r>
      <w:r>
        <w:rPr>
          <w:rFonts w:cs="Arial" w:ascii="Arial" w:hAnsi="Arial"/>
          <w:bCs/>
          <w:sz w:val="24"/>
        </w:rPr>
        <w:t>padrões de desempenho e qualidade podem ser objetivamente definidos</w:t>
      </w:r>
      <w:r>
        <w:rPr>
          <w:rFonts w:cs="Arial" w:ascii="Arial" w:hAnsi="Arial"/>
          <w:sz w:val="24"/>
        </w:rPr>
        <w:t xml:space="preserve"> no Termo de Referência, conforme previsto no </w:t>
      </w:r>
      <w:r>
        <w:rPr>
          <w:rFonts w:cs="Arial" w:ascii="Arial" w:hAnsi="Arial"/>
          <w:bCs/>
          <w:sz w:val="24"/>
        </w:rPr>
        <w:t>art. 6º, inciso XL, e art. 17, inciso I, da Lei nº 14.133/2021</w:t>
      </w:r>
      <w:r>
        <w:rPr>
          <w:rFonts w:cs="Arial" w:ascii="Arial" w:hAnsi="Arial"/>
          <w:sz w:val="24"/>
        </w:rPr>
        <w:t>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7.2 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Lei nº 14.133/2021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em seu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art. 28, inciso II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estabelece 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pregão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como modalidade obrigatória para a aquisição de bens e serviços comuns, sendo 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pregão eletrônico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a forma preferencial, conforme reforçado pelo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art. 17 do Decreto Federal nº 10.024/2019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que regulamenta o uso da forma eletrônica no âmbito da Administração Pública.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7.3 Além disso, a adoção da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forma eletrônica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assegura maior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amplitude de competitividade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,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transparência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economicidade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ampliando o acesso de fornecedores de diversas regiões e reduzindo custos administrativos relacionados à realização presencial da sessão.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7.4 A opção pelo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Sistema de Registro de Preços (SRP)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encontra amparo no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art. 82 da Lei nº 14.133/2021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no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Decreto Municipal nº [inserir o vigente no Município de Paranaguá]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considerando que: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7.4.1 há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necessidade de fornecimento parcelado e contínuo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dos uniformes escolares, conforme as demandas das unidades educacionais;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7.4.2 o consumo não ocorre de forma imediata, sendo necessário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planejamento flexível e aquisição conforme necessidade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;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7.4.3 o SRP possibilita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melhor gestão orçamentária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racionalização de estoques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>, evitando desperdícios e contratações emergenciais;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7.4.4 permite ainda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atendimento a futuras adesões (“caronas”)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por outros órgãos da administração, se houver previsão no edital.</w:t>
      </w:r>
    </w:p>
    <w:p>
      <w:pPr>
        <w:pStyle w:val="Normal"/>
        <w:widowControl/>
        <w:suppressAutoHyphens w:val="false"/>
        <w:spacing w:lineRule="auto" w:line="360"/>
        <w:jc w:val="both"/>
        <w:rPr/>
      </w:pP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7.5 Dessa forma, a modalidade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Pregão Eletrônico com Registro de Preços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atende plenamente aos princípios da </w:t>
      </w:r>
      <w:r>
        <w:rPr>
          <w:rFonts w:eastAsia="Times New Roman" w:cs="Arial" w:ascii="Arial" w:hAnsi="Arial"/>
          <w:bCs/>
          <w:sz w:val="24"/>
          <w:szCs w:val="24"/>
          <w:lang w:val="pt-BR" w:eastAsia="pt-BR"/>
        </w:rPr>
        <w:t>legalidade, impessoalidade, moralidade, publicidade, eficiência e economicidade</w:t>
      </w:r>
      <w:r>
        <w:rPr>
          <w:rFonts w:eastAsia="Times New Roman" w:cs="Arial" w:ascii="Arial" w:hAnsi="Arial"/>
          <w:sz w:val="24"/>
          <w:szCs w:val="24"/>
          <w:lang w:val="pt-BR" w:eastAsia="pt-BR"/>
        </w:rPr>
        <w:t xml:space="preserve"> (art. 5º, caput, da Lei nº 14.133/2021), sendo a que melhor se ajusta ao interesse público e às necessidades da Secretaria Municipal de Educação.</w:t>
      </w:r>
    </w:p>
    <w:p>
      <w:pPr>
        <w:pStyle w:val="Normal"/>
        <w:widowControl/>
        <w:spacing w:lineRule="auto" w:line="36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7.6 O quantitativo a ser adquirido respeitará o limite legal permitido e será dimensionado conforme as necessidades da Prefeitura de Paranaguá, evitando-se aquisições desnecessárias.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7.7 A aquisição dos UNIFORMES, TENIS E MOCHILA escolares foi realizado por meio da modalidade de licitação Pregão Eletrônico, utilizando o Sistema de Registro de Preços (SRP), conforme previsto na Lei nº 14.133/2021. Essa escolha se justifica pelo fato de que os itens a serem adquiridos são bens de natureza comum, ou seja, materiais amplamente disponíveis no mercado, com especificações objetivas e padrões técnicos definidos, sem necessidade de customização ou desenvolvimento específico.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7.8 A adoção do Pregão Eletrônico permite maior competitividade e transparência no processo, possibilitando a ampla participação de fornecedores de diferentes regiões, o que tende a resultar em melhores condições comerciais para a administração pública. Além disso, o meio eletrônico reduz custos administrativos, agiliza os trâmites da licitação e reforça a isonomia entre os concorrentes, mitigando riscos de direcionamento ou restrição indevida da concorrência.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7.9 O uso do Sistema de Registro de Preços (SRP) traz benefícios adicionais, pois possibilita a contratação dos itens conforme a demanda, evitando aquisições excessivas e otimizando a gestão dos recursos públicos. Dessa forma, a administração municipal poderá solicitar os uniformes escolares de acordo com a necessidade real ao longo do período de vigência da ata, garantindo maior eficiência no planejamento e na distribuição dos materiais aos alunos da Rede Pública Municipal de Paranaguá.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7.10 Com essa abordagem, busca-se assegurar a economicidade, a eficiência e a transparência na aquisição dos uniformes escolares, promovendo o uso responsável dos recursos públicos e garantindo que os estudantes tenham acesso aos uniformes escolares de forma padronizada.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8 CARACTERIZAÇÃO DE FORNECIMENTOS CONTÍNUOS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8.1 A presente contratação enquadra-se como fornecimento de natureza contínua, nos termos do artigo 6º, inciso XI, da Lei nº 14.133/2021, por tratar-se de prestação que demanda regularidade, permanência e renovação sistemática, com vistas a atender, de forma ininterrupta e planejada, os alunos matriculados na Rede Pública Municipal de Ensino de Paranaguá, abrangendo as etapas da Educação Infantil, Ensino Fundamental – Anos Iniciais e Finais – e Educação de Jovens e Adultos (EJA).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8.2 A distribuição de UNIFORMES, TENIS E MOCHILA escolares configura-se como uma necessidade permanente da Administração Pública, cuja interrupção comprometeria a efetividade da política educacional, notadamente no que tange à promoção da equidade, padronização e identificação dos discentes, à preservação do ambiente escolar organizado, bem como à mitigação de desigualdades socioeconômicas entre os estudantes.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8.3 Nos moldes do artigo 107 da Lei nº 14.133/2021, a possibilidade de celebração contratual com vigência superior a doze meses, prorrogável até o limite de sessenta meses, aplica-se plenamente a contratações dessa natureza, na medida em que se busca assegurar a continuidade de fornecimentos essenciais, cuja ausência pode comprometer a regularidade dos serviços públicos prestados à coletividade.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8.4 O fornecimento de uniformes escolares destina-se ao atendimento das necessidades periódicas da rede pública municipal de ensino, especialmente em razão do calendário letivo, do ingresso de novos alunos e da reposição de itens necessários ao adequado atendimento dos estudantes. Todavia, a natureza do objeto caracteriza-se como aquisição de bens comuns, com fornecimento parcelado conforme a demanda da Administração, não se enquadrando no conceito legal de serviço contínuo previsto na Lei nº 14.133/2021. Dessa forma, procedeu-se à reavaliação e adequação da classificação adotada no Estudo Técnico Preliminar, visando compatibilizar a natureza jurídica da contratação com as características efetivas do objeto licitado.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8.5 Ademais, o objeto contratual possui impacto direto na consecução dos objetivos estratégicos da política pública educacional municipal, notadamente no que se refere à garantia de acesso e permanência na escola, conforme estabelecido na Constituição Federal (artigos 205 e 208), na Lei nº 9.394/1996 (Lei de Diretrizes e Bases da Educação Nacional) e na Lei nº 13.005/2014 (Plano Nacional de Educação – PNE), integrando-se à agenda de inclusão, redução das desigualdades e fortalecimento da identidade escolar.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8.6 Dessa forma, a caracterização da contratação como fornecimento contínuo encontra respaldo não apenas na legislação aplicável, mas também na natureza da demanda pública a ser atendida, reforçando a imprescindibilidade de sua execução regular e a necessidade de assegurar meios eficazes para sua manutenção ao longo do tempo, em estrita observância aos princípios da eficiência, continuidade do serviço público, planejamento e interesse público.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9 ESTIMATIVA DAS QUANTIDADES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9.1 A estimativa das quantidades para a AQUISIÇÃO   DE UNIFORMES, TENIS E MOCHILA escolares destinados ao Município de Paranaguá foi elaborada com o objetivo de fornecer uma previsão precisa e criteriosa dos custos totais envolvidos na contratação. Esse levantamento considera variáveis essenciais, como o número de alunos a serem atendidos, a quantidade de cada modelo conforme a etapa de ensino e as condições mercadológicas vigentes, garantindo que a aquisição esteja dentro do orçamento previsto e respeite os limites financeiros do município. Dessa forma, busca-se assegurar a correta aplicação dos recursos públicos, em conformidade com os princípios da eficiência, economicidade e planejamento administrativo.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9.2 Durante o estudo técnico, foi necessário realizar um mapeamento detalhado da demanda, tomando como referência o número de matrículas efetivadas na rede municipal de ensino, abrangendo a Educação Infantil, o Ensino Fundamental – anos iniciais e finais – e a Educação de Jovens e Adultos (EJA). 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9.3 A quantidade e modelos dos UNIFORMES, TENIS E MOCHILA escolares foram definidas com base nas necessidades específicas de cada etapa de ensino, assegurando que os materiais estejam adequados à faixa etária. Essa diferenciação é essencial para garantir que cada estudante receba os itens apropriados para seu desenvolvimento educacional.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Para estimar com precisão as quantidades necessárias, foram utilizados os dados das matrículas atualizadas, proporcionando um panorama realista da demanda municipal.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9.4 Sabendo que o número de matrículas é variável, tornou-se essencial incluir na estimativa uma margem de contingência, destinada a suprir eventuais variações na demanda ao longo da vigência do contrato. Fatores como o crescimento populacional, o aumento no número de matrículas ao longo do ano letivo, a criação de novas unidades educacionais e a necessidade de reposição de uniformes escolares por perdas, extravios ou furtos foram cuidadosamente analisados para evitar desabastecimentos e garantir a continuidade do fornecimento.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9.5 Com base nesses critérios, estabeleceu-se uma reserva técnica de 10% sobre o quantitativo estimado, permitindo que a administração municipal atenda prontamente a novas demandas sem comprometer a distribuição dos uniformes escolares. Essa margem adicional assegura maior flexibilidade e segurança ao planejamento, garantindo que todos os alunos da Rede Pública Municipal de Paranaguá tenham acesso ao uniforme escolar.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9.6 Ao adotar essa abordagem, a gestão municipal reafirma seu compromisso com a eficiência administrativa, a responsabilidade fiscal e a melhoria contínua da educação, garantindo que os investimentos realizados sejam direcionados de maneira estratégica para fortalecer o processo de ensino e aprendizagem no município.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9.7 TABELA DE QUANTIDADES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553835" cy="6426835"/>
            <wp:effectExtent l="0" t="0" r="0" b="0"/>
            <wp:wrapSquare wrapText="largest"/>
            <wp:docPr id="1" name="Figura2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2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6426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widowControl/>
        <w:spacing w:lineRule="auto" w:line="360"/>
        <w:ind w:left="0" w:hanging="0"/>
        <w:jc w:val="both"/>
        <w:rPr>
          <w:b/>
          <w:b/>
          <w:bCs/>
        </w:rPr>
      </w:pPr>
      <w:r>
        <w:rPr>
          <w:b/>
          <w:bCs/>
        </w:rPr>
        <w:t>R$ 12.297.685,14 (Doze milhões e duzentos e noventa e sete mil e seiscentos e oitenta e cinco reais e quatorze centavos)</w:t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10 LEVANTAMENTO DO MERCADO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10.1 O levantamento de mercado realizado tem como objetivo avaliar as opções disponíveis, proporcionando uma base técnica e econômica sólida para a escolha da solução mais adequada à contratação. Após a definição do objeto e dos requisitos da contratação, a Equipe de Planejamento conduziu a pesquisa de mercado e identificou os seguintes pontos relevantes: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a) A demanda por uniformes escolares já foi atendida por diversos órgãos e entidades públicas, o que demonstra que não se trata de uma necessidade exclusiva ou atípica para o setor público;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b) O Sistema de Registro de Preços (SRP) foi identificado como uma alternativa viável e amplamente adotada pelas empresas do segmento, permitindo uma contratação mais eficiente e flexível para a Administração Pública;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c) Devido à natureza de baixa complexidade do objeto, a realização de audiência ou consulta pública não se mostra necessária, visto que as informações disponíveis no mercado são suficientes para atender às necessidades da contratação;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d) A opção de locação dos bens não é aplicável à presente contratação, pois a aquisição do uniforme escolar configura uma necessidade específica e permanente da Secretaria Municipal de Educação;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e) Considerando as demandas identificadas, a solução mais adequada para atender ao objeto da contratação é a escolha de uma empresa especializada, cuja atividade econômica esteja diretamente alinhada às exigências do fornecimento de uniformes escolares;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f) Foram analisadas contratações similares realizadas por outros órgãos públicos, com o objetivo de identificar inovações tecnológicas ou metodológicas que pudessem ser aplicadas para otimizar a execução do objeto. No entanto, não foram identificadas mudanças significativas no modelo de execução, sendo a principal diferença a modalidade licitatória adotada em cada caso, conforme a regulamentação aplicável;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g) A AQUISIÇÃO   DE UNIFORMES, TENIS E MOCHILA escolares é uma prática comum e recorrente entre órgãos públicos de diversas esferas, o que evidencia a ampla oferta de fornecedores qualificados para atender aos requisitos especificados neste estudo.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10.2 Em conformidade com o Art. 44 da Lei nº 14.133/2021, a pesquisa de mercado foi realizada junto a outros órgãos e entidades públicas para identificar possíveis inovações ou metodologias alternativas. Contudo, considerando a diversidade dos itens envolvidos e a experiência acumulada em aquisições anteriores, não foram encontradas soluções inovadoras viáveis que atendam à demanda da Secretaria Municipal de Educação.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10.3 No caso específico da Prefeitura Municipal de Paranaguá, a aquisição de Tenis e meias antiaderente escolares tem sido realizada ao longo de vários anos, com um histórico consolidado e sem registros de inconsistências significativas nos processos anteriores. Dessa forma, a Equipe Técnica concluiu que a solução mais eficiente e eficaz continua sendo a contratação de empresa especializada no fornecimento de uniformes escolares por meio do Sistema de Registro de Preços, garantindo a economicidade, a eficiência e o atendimento adequado às necessidades da Administração Pública.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10.4 Com base nas soluções apresentadas no levantamento de mercado, a contratação de empresa especializada no fornecimento de uniformes escolares se configura como a alternativa mais apropriada para atender à demanda da Secretaria Municipal de Educação de Paranaguá.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11 REQUISITOS DA CONTRATAÇÃO 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11.1 Requisitos Técnicos</w:t>
      </w:r>
    </w:p>
    <w:p>
      <w:pPr>
        <w:pStyle w:val="ListParagraph"/>
        <w:widowControl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Certidões ou atestados, que demonstrem capacidade operacional na execução de serviços/fornecimento uniformes escolares equivalente ou superior.</w:t>
      </w:r>
    </w:p>
    <w:p>
      <w:pPr>
        <w:pStyle w:val="ListParagraph"/>
        <w:widowControl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Os atestados de capacidade técnica deverão ser emitidos por Pessoa Jurídica, de direito púbico ou privado, contendo todas as informações; </w:t>
      </w:r>
    </w:p>
    <w:p>
      <w:pPr>
        <w:pStyle w:val="ListParagraph"/>
        <w:widowControl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Os atestados deverão possuir quantidades mínimas de 10% (dez por cento) da quantidade licitada.  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11.2 Requisitos Jurídicos</w:t>
      </w:r>
    </w:p>
    <w:p>
      <w:pPr>
        <w:pStyle w:val="ListParagraph"/>
        <w:widowControl/>
        <w:numPr>
          <w:ilvl w:val="0"/>
          <w:numId w:val="2"/>
        </w:numPr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11.3 Requisitos fiscais e trabalhistas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Prova de inscrição no Cadastro Nacional de Pessoas Jurídicas;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Prova de inscrição no cadastro de contribuintes estadual ou municipal, se houver, relativo ao domicílio ou sede do licitante, pertinente ao seu ramo de atividade e compatível com o objeto contratual;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Nacional;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Prova de regularidade para com a Fazenda Estadual, do domicílio ou sede do licitante; 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Prova de regularidade para com a Fazenda Municipal, do domicílio ou sede do licitante; 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Prova de regularidade com o Fundo de Garantia do Tempo de Serviço (FGTS); </w:t>
      </w:r>
    </w:p>
    <w:p>
      <w:pPr>
        <w:pStyle w:val="ListParagraph"/>
        <w:widowControl/>
        <w:numPr>
          <w:ilvl w:val="0"/>
          <w:numId w:val="3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>
      <w:pPr>
        <w:pStyle w:val="ListParagraph"/>
        <w:widowControl/>
        <w:spacing w:lineRule="auto" w:line="360"/>
        <w:ind w:left="842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11.4 Requisitos Econômico-financeiros</w:t>
      </w:r>
    </w:p>
    <w:p>
      <w:pPr>
        <w:pStyle w:val="ListParagraph"/>
        <w:widowControl/>
        <w:numPr>
          <w:ilvl w:val="0"/>
          <w:numId w:val="4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Certidão negativa de falência ou recuperação judicial, ou liquidação judicial, ou de execução patrimonial, conforme o caso, expedida pelo distribuidor da sede do licitante, ou de seu domicílio, dentro do prazo de validade previsto na própria certidão, ou, na omissão desta, expedida a menos de 60 (sessenta) dias contados da data da sua apresentação; </w:t>
      </w:r>
    </w:p>
    <w:p>
      <w:pPr>
        <w:pStyle w:val="ListParagraph"/>
        <w:widowControl/>
        <w:numPr>
          <w:ilvl w:val="0"/>
          <w:numId w:val="4"/>
        </w:numPr>
        <w:spacing w:lineRule="auto" w:line="360"/>
        <w:jc w:val="both"/>
        <w:rPr/>
      </w:pPr>
      <w:r>
        <w:rPr>
          <w:rFonts w:cs="Arial" w:ascii="Arial" w:hAnsi="Arial"/>
          <w:sz w:val="24"/>
          <w:szCs w:val="24"/>
        </w:rPr>
        <w:t>O licitante que esteja em processo de recuperação judicial, deverá apresentar autorização do juízo competente para sua participação em processo licitatório. Balanço Patrimonial e demonstrativos contábeis, dos dois últimos exercícios (Lei n. 6404/76). Os balanços das Sociedades Anônimas ou por Ações, deverão ser apresentados em publicações do Diário Oficial. As demais empresas deverão apresentar balanços autenticados e arquivados na Junta Comercial do local da sede da empresa, certificados por Contador registrado no Conselho Regional de Contabilidade, mencionando expressamente o número do livro “Diário”, com o termo de abertura e de encerramento, e as folhas em que cada balanço se acha regularmente inscrito;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12 VALOR ESTIMADO DA CONTRATAÇÃO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12.1 As pesquisas de preços iniciais foram realizadas por meio do Painel de Preços do sistema Banco de Preços, pela internet e com fornecedores locais, observando-se os índices de atualização de preços aplicáveis.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12.2 A flutuação nos valores, frequentemente influenciada por fatores como sazonalidade, alterações no custo de insumos, variação cambial e mudanças na demanda, exige um levantamento detalhado e abrangente. Esse procedimento garante que os valores coletados reflitam de forma precisa a realidade do mercado no momento da contratação, prevenindo distorções e assegurando maior eficiência na utilização dos recursos públicos.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12.3 A ampliação do escopo da pesquisa e a diversificação das fontes de informação possibilitaram a definição de um preço referencial mais justo e alinhado às condições atuais de mercado. Tal abordagem não só confere maior segurança à tomada de decisões, como também reforça o compromisso com a economicidade e a eficiência na gestão pública. A metodologia adotada, ao levar em consideração a volatilidade dos preços, demonstra uma preocupação em assegurar que a contratação siga os princípios de planejamento, racionalidade e as melhores práticas administrativas, garantindo maior qualidade e responsabilidade no processo licitatório.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12.4 Por fim, destaca-se que a pesquisa em questão seguiu as disposições estabelecidas no Art. 5º da Instrução Normativa SEGES/ME nº 65, de 2021, conforme descrita abaixo:</w:t>
      </w:r>
    </w:p>
    <w:p>
      <w:pPr>
        <w:pStyle w:val="ListParagraph"/>
        <w:widowControl/>
        <w:numPr>
          <w:ilvl w:val="0"/>
          <w:numId w:val="5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Art. 5º A pesquisa de preços para fins de determinação do preço estimado em processo licitatório para a aquisição de bens e contratação de serviços em geral será realizada mediante a utilização dos seguintes parâmetros, empregados de forma combinada ou não: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numPr>
          <w:ilvl w:val="0"/>
          <w:numId w:val="5"/>
        </w:numPr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composição de custos unitários menores ou iguais à mediana do item correspondente nos sistemas oficiais de governo, como Painel de Preços ou banco de preços em saúde, observado o índice de atualização de preços correspondente;</w:t>
      </w:r>
    </w:p>
    <w:p>
      <w:pPr>
        <w:pStyle w:val="Normal"/>
        <w:widowControl/>
        <w:spacing w:lineRule="auto" w:line="360"/>
        <w:jc w:val="both"/>
        <w:rPr>
          <w:rFonts w:ascii="Arial" w:hAnsi="Arial" w:eastAsia="Times New Roman" w:cs="Arial"/>
          <w:b/>
          <w:b/>
          <w:bCs/>
          <w:iCs/>
          <w:color w:val="000000"/>
          <w:sz w:val="24"/>
          <w:szCs w:val="24"/>
          <w:lang w:val="pt-BR" w:eastAsia="zh-CN"/>
        </w:rPr>
      </w:pPr>
      <w:r>
        <w:rPr>
          <w:rFonts w:eastAsia="Times New Roman" w:cs="Arial" w:ascii="Arial" w:hAnsi="Arial"/>
          <w:b/>
          <w:bCs/>
          <w:iCs/>
          <w:color w:val="000000"/>
          <w:sz w:val="24"/>
          <w:szCs w:val="24"/>
          <w:lang w:val="pt-BR" w:eastAsia="zh-CN"/>
        </w:rPr>
      </w:r>
    </w:p>
    <w:p>
      <w:pPr>
        <w:pStyle w:val="ListParagraph"/>
        <w:widowControl/>
        <w:tabs>
          <w:tab w:val="clear" w:pos="720"/>
          <w:tab w:val="left" w:pos="60" w:leader="none"/>
          <w:tab w:val="left" w:pos="1410" w:leader="none"/>
        </w:tabs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ListParagraph"/>
        <w:widowControl/>
        <w:tabs>
          <w:tab w:val="clear" w:pos="720"/>
          <w:tab w:val="left" w:pos="60" w:leader="none"/>
          <w:tab w:val="left" w:pos="1410" w:leader="none"/>
        </w:tabs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>
        <w:rPr>
          <w:rFonts w:cs="Arial" w:ascii="Arial" w:hAnsi="Arial"/>
          <w:bCs/>
          <w:sz w:val="24"/>
          <w:szCs w:val="24"/>
          <w:highlight w:val="lightGray"/>
          <w:u w:val="single"/>
        </w:rPr>
        <w:t>13.ANALISE DE CUSTOS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13.1 A </w:t>
      </w:r>
      <w:r>
        <w:rPr>
          <w:rStyle w:val="Strong"/>
          <w:rFonts w:eastAsia="Arial MT" w:cs="Arial" w:ascii="Arial" w:hAnsi="Arial"/>
          <w:b w:val="false"/>
          <w:sz w:val="24"/>
        </w:rPr>
        <w:t>metodologia adotada</w:t>
      </w:r>
      <w:r>
        <w:rPr>
          <w:rFonts w:cs="Arial" w:ascii="Arial" w:hAnsi="Arial"/>
          <w:sz w:val="24"/>
        </w:rPr>
        <w:t xml:space="preserve"> seguiu os parâmetros do </w:t>
      </w:r>
      <w:r>
        <w:rPr>
          <w:rStyle w:val="Strong"/>
          <w:rFonts w:eastAsia="Arial MT" w:cs="Arial" w:ascii="Arial" w:hAnsi="Arial"/>
          <w:b w:val="false"/>
          <w:sz w:val="24"/>
        </w:rPr>
        <w:t>art. 23, §3º da Lei nº 14.133/2021</w:t>
      </w:r>
      <w:r>
        <w:rPr>
          <w:rFonts w:cs="Arial" w:ascii="Arial" w:hAnsi="Arial"/>
          <w:sz w:val="24"/>
        </w:rPr>
        <w:t xml:space="preserve">, e das </w:t>
      </w:r>
      <w:r>
        <w:rPr>
          <w:rStyle w:val="Strong"/>
          <w:rFonts w:eastAsia="Arial MT" w:cs="Arial" w:ascii="Arial" w:hAnsi="Arial"/>
          <w:b w:val="false"/>
          <w:sz w:val="24"/>
        </w:rPr>
        <w:t>orientações do Acórdão TCU nº 2.622/2013-Plenário</w:t>
      </w:r>
      <w:r>
        <w:rPr>
          <w:rFonts w:cs="Arial" w:ascii="Arial" w:hAnsi="Arial"/>
          <w:sz w:val="24"/>
        </w:rPr>
        <w:t>, considerando: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13.2 Diversificação das fontes consultadas</w:t>
      </w:r>
      <w:r>
        <w:rPr>
          <w:rFonts w:cs="Arial" w:ascii="Arial" w:hAnsi="Arial"/>
          <w:sz w:val="24"/>
        </w:rPr>
        <w:t xml:space="preserve">, abrangendo </w:t>
      </w:r>
      <w:r>
        <w:rPr>
          <w:rStyle w:val="Strong"/>
          <w:rFonts w:eastAsia="Arial MT" w:cs="Arial" w:ascii="Arial" w:hAnsi="Arial"/>
          <w:b w:val="false"/>
          <w:sz w:val="24"/>
        </w:rPr>
        <w:t>fornecedores privados e prefeituras</w:t>
      </w:r>
      <w:r>
        <w:rPr>
          <w:rFonts w:cs="Arial" w:ascii="Arial" w:hAnsi="Arial"/>
          <w:sz w:val="24"/>
        </w:rPr>
        <w:t xml:space="preserve"> que realizaram licitações similares em 2024 e 2025;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13.3 Desconsideração de valores atípicos</w:t>
      </w:r>
      <w:r>
        <w:rPr>
          <w:rFonts w:cs="Arial" w:ascii="Arial" w:hAnsi="Arial"/>
          <w:sz w:val="24"/>
        </w:rPr>
        <w:t xml:space="preserve"> (muito acima ou abaixo da média de mercado);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13.4 Cálculo da média aritmética simples</w:t>
      </w:r>
      <w:r>
        <w:rPr>
          <w:rFonts w:cs="Arial" w:ascii="Arial" w:hAnsi="Arial"/>
          <w:sz w:val="24"/>
        </w:rPr>
        <w:t xml:space="preserve"> dos preços válidos obtidos para cada item;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Conversão dos valores para referência corrente de mercado</w:t>
      </w:r>
      <w:r>
        <w:rPr>
          <w:rFonts w:cs="Arial" w:ascii="Arial" w:hAnsi="Arial"/>
          <w:sz w:val="24"/>
        </w:rPr>
        <w:t>, sem incidência de impostos adicionais.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13.5 A pesquisa de preços considerou </w:t>
      </w:r>
      <w:r>
        <w:rPr>
          <w:rStyle w:val="Strong"/>
          <w:rFonts w:eastAsia="Arial MT" w:cs="Arial" w:ascii="Arial" w:hAnsi="Arial"/>
          <w:b w:val="false"/>
          <w:sz w:val="24"/>
        </w:rPr>
        <w:t>fontes oficiais e idôneas</w:t>
      </w:r>
      <w:r>
        <w:rPr>
          <w:rFonts w:cs="Arial" w:ascii="Arial" w:hAnsi="Arial"/>
          <w:sz w:val="24"/>
        </w:rPr>
        <w:t xml:space="preserve">, atendendo ao princípio da </w:t>
      </w:r>
      <w:r>
        <w:rPr>
          <w:rStyle w:val="Strong"/>
          <w:rFonts w:eastAsia="Arial MT" w:cs="Arial" w:ascii="Arial" w:hAnsi="Arial"/>
          <w:b w:val="false"/>
          <w:sz w:val="24"/>
        </w:rPr>
        <w:t>economicidade</w:t>
      </w:r>
      <w:r>
        <w:rPr>
          <w:rFonts w:cs="Arial" w:ascii="Arial" w:hAnsi="Arial"/>
          <w:sz w:val="24"/>
        </w:rPr>
        <w:t xml:space="preserve"> e ao disposto no </w:t>
      </w:r>
      <w:r>
        <w:rPr>
          <w:rStyle w:val="Strong"/>
          <w:rFonts w:eastAsia="Arial MT" w:cs="Arial" w:ascii="Arial" w:hAnsi="Arial"/>
          <w:b w:val="false"/>
          <w:sz w:val="24"/>
        </w:rPr>
        <w:t>art. 18, §1º, inciso VIII, da Lei 14.133/21</w:t>
      </w:r>
      <w:r>
        <w:rPr>
          <w:rFonts w:cs="Arial" w:ascii="Arial" w:hAnsi="Arial"/>
          <w:sz w:val="24"/>
        </w:rPr>
        <w:t>.</w:t>
      </w:r>
    </w:p>
    <w:p>
      <w:pPr>
        <w:pStyle w:val="Ttulo2"/>
        <w:spacing w:lineRule="auto" w:line="360" w:before="0" w:after="0"/>
        <w:jc w:val="both"/>
        <w:rPr/>
      </w:pPr>
      <w:r>
        <w:rPr>
          <w:rStyle w:val="Strong"/>
          <w:rFonts w:cs="Arial" w:ascii="Arial" w:hAnsi="Arial"/>
          <w:b w:val="false"/>
          <w:bCs w:val="false"/>
          <w:color w:val="000000"/>
          <w:sz w:val="24"/>
          <w:szCs w:val="24"/>
        </w:rPr>
        <w:t>13.6 Justificativa de Vantajosidade Econômica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13.6.1 A análise evidencia que os preços médios obtidos estão </w:t>
      </w:r>
      <w:r>
        <w:rPr>
          <w:rStyle w:val="Strong"/>
          <w:rFonts w:eastAsia="Arial MT" w:cs="Arial" w:ascii="Arial" w:hAnsi="Arial"/>
          <w:b w:val="false"/>
          <w:sz w:val="24"/>
        </w:rPr>
        <w:t>dentro dos parâmetros praticados no mercado nacional</w:t>
      </w:r>
      <w:r>
        <w:rPr>
          <w:rFonts w:cs="Arial" w:ascii="Arial" w:hAnsi="Arial"/>
          <w:sz w:val="24"/>
        </w:rPr>
        <w:t>, apresentando coerência entre diferentes fornecedores e processos licitatórios de prefeituras de porte semelhante.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13.6.2 A opção pela </w:t>
      </w:r>
      <w:r>
        <w:rPr>
          <w:rStyle w:val="Strong"/>
          <w:rFonts w:eastAsia="Arial MT" w:cs="Arial" w:ascii="Arial" w:hAnsi="Arial"/>
          <w:b w:val="false"/>
          <w:sz w:val="24"/>
        </w:rPr>
        <w:t>aquisição via Pregão Eletrônico com Registro de Preços (SRP)</w:t>
      </w:r>
      <w:r>
        <w:rPr>
          <w:rFonts w:cs="Arial" w:ascii="Arial" w:hAnsi="Arial"/>
          <w:sz w:val="24"/>
        </w:rPr>
        <w:t xml:space="preserve"> reforça a vantajosidade ao permitir: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13.6.3 Economia de escala</w:t>
      </w:r>
      <w:r>
        <w:rPr>
          <w:rFonts w:cs="Arial" w:ascii="Arial" w:hAnsi="Arial"/>
          <w:sz w:val="24"/>
        </w:rPr>
        <w:t>, pois o município poderá contratar conforme demanda, evitando estoques desnecessários e desperdícios;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13.6.4 Competição ampliada</w:t>
      </w:r>
      <w:r>
        <w:rPr>
          <w:rFonts w:cs="Arial" w:ascii="Arial" w:hAnsi="Arial"/>
          <w:sz w:val="24"/>
        </w:rPr>
        <w:t>, pela realização em meio eletrônico;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13.6.5 Flexibilidade contratual</w:t>
      </w:r>
      <w:r>
        <w:rPr>
          <w:rFonts w:cs="Arial" w:ascii="Arial" w:hAnsi="Arial"/>
          <w:sz w:val="24"/>
        </w:rPr>
        <w:t>, permitindo futuras adesões e reposições durante o exercício;</w:t>
      </w:r>
    </w:p>
    <w:p>
      <w:pPr>
        <w:pStyle w:val="NormalWeb"/>
        <w:suppressAutoHyphens w:val="false"/>
        <w:spacing w:lineRule="auto" w:line="360" w:before="0" w:after="0"/>
        <w:jc w:val="both"/>
        <w:rPr/>
      </w:pPr>
      <w:r>
        <w:rPr>
          <w:rStyle w:val="Strong"/>
          <w:rFonts w:eastAsia="Arial MT" w:cs="Arial" w:ascii="Arial" w:hAnsi="Arial"/>
          <w:b w:val="false"/>
          <w:sz w:val="24"/>
        </w:rPr>
        <w:t>13.6.6.Controle orçamentário</w:t>
      </w:r>
      <w:r>
        <w:rPr>
          <w:rFonts w:cs="Arial" w:ascii="Arial" w:hAnsi="Arial"/>
          <w:sz w:val="24"/>
        </w:rPr>
        <w:t>, já que o SRP garante o pagamento apenas pelo efetivo fornecimento.</w:t>
      </w:r>
    </w:p>
    <w:p>
      <w:pPr>
        <w:pStyle w:val="NormalWeb"/>
        <w:spacing w:lineRule="auto" w:line="360" w:before="0" w:after="0"/>
        <w:jc w:val="both"/>
        <w:rPr/>
      </w:pPr>
      <w:r>
        <w:rPr>
          <w:rFonts w:cs="Arial" w:ascii="Arial" w:hAnsi="Arial"/>
          <w:sz w:val="24"/>
        </w:rPr>
        <w:t xml:space="preserve">13.7 Dessa forma, a contratação proposta atende aos princípios da </w:t>
      </w:r>
      <w:r>
        <w:rPr>
          <w:rStyle w:val="Strong"/>
          <w:rFonts w:eastAsia="Arial MT" w:cs="Arial" w:ascii="Arial" w:hAnsi="Arial"/>
          <w:b w:val="false"/>
          <w:sz w:val="24"/>
        </w:rPr>
        <w:t>eficiência, economicidade e vantajosidade</w:t>
      </w:r>
      <w:r>
        <w:rPr>
          <w:rFonts w:cs="Arial" w:ascii="Arial" w:hAnsi="Arial"/>
          <w:sz w:val="24"/>
        </w:rPr>
        <w:t xml:space="preserve">, previstos nos </w:t>
      </w:r>
      <w:r>
        <w:rPr>
          <w:rStyle w:val="Strong"/>
          <w:rFonts w:eastAsia="Arial MT" w:cs="Arial" w:ascii="Arial" w:hAnsi="Arial"/>
          <w:b w:val="false"/>
          <w:sz w:val="24"/>
        </w:rPr>
        <w:t>arts. 5º e 11 da Lei nº 14.133/2021</w:t>
      </w:r>
      <w:r>
        <w:rPr>
          <w:rFonts w:cs="Arial" w:ascii="Arial" w:hAnsi="Arial"/>
          <w:sz w:val="24"/>
        </w:rPr>
        <w:t xml:space="preserve">, e às boas práticas de planejamento preconizadas pelo </w:t>
      </w:r>
      <w:r>
        <w:rPr>
          <w:rStyle w:val="Strong"/>
          <w:rFonts w:eastAsia="Arial MT" w:cs="Arial" w:ascii="Arial" w:hAnsi="Arial"/>
          <w:b w:val="false"/>
          <w:sz w:val="24"/>
        </w:rPr>
        <w:t>TCU (Acórdão nº 3.071/2015-Plenário)</w:t>
      </w:r>
      <w:r>
        <w:rPr>
          <w:rFonts w:cs="Arial" w:ascii="Arial" w:hAnsi="Arial"/>
          <w:sz w:val="24"/>
        </w:rPr>
        <w:t>.</w:t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14. PARCELAMENTO OU NÃO DA CONTRATAÇÃO</w:t>
      </w:r>
    </w:p>
    <w:p>
      <w:pPr>
        <w:pStyle w:val="Corpodotexto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14.1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aquisição de uniformes, tênis e mochilas escolares tem como finalidade atender os alunos da Rede Pública Municipal de Paranaguá/PR, sendo fundamental garantir a padronização dos materiais para assegurar uniformidade e eficiência no atendimento às demandas educacionais. A adoção desse critério permite que os uniformes escolares possuam especificações estéticas, técnicas e de desempenho compatíveis, garantindo equidade na distribuição e assegurando que todos os beneficiários recebam produtos de igual qualidade e funcionalidade.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14.2</w:t>
      </w:r>
      <w:r>
        <w:rPr>
          <w:rFonts w:ascii="arial" w:hAnsi="arial"/>
          <w:b w:val="false"/>
          <w:bCs w:val="false"/>
        </w:rPr>
        <w:t xml:space="preserve"> A padronização também contribui para a otimização da logística de distribuição, o controle de qualidade dos itens adquiridos e a gestão contratual, simplificando processos e proporcionando maior previsibilidade no fornecimento. Dessa forma, busca-se evitar disparidades que possam comprometer a eficácia do programa educacional e garantir uma administração mais eficiente dos recursos públicos.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14.3</w:t>
      </w:r>
      <w:r>
        <w:rPr>
          <w:rFonts w:ascii="arial" w:hAnsi="arial"/>
          <w:b w:val="false"/>
          <w:bCs w:val="false"/>
        </w:rPr>
        <w:t xml:space="preserve"> Ressalta-se que os itens que compõem o objeto possuem natureza de </w:t>
      </w:r>
      <w:r>
        <w:rPr>
          <w:rStyle w:val="Nfaseforte"/>
          <w:rFonts w:ascii="arial" w:hAnsi="arial"/>
          <w:b w:val="false"/>
          <w:bCs w:val="false"/>
        </w:rPr>
        <w:t>confecção têxtil</w:t>
      </w:r>
      <w:r>
        <w:rPr>
          <w:rFonts w:ascii="arial" w:hAnsi="arial"/>
          <w:b w:val="false"/>
          <w:bCs w:val="false"/>
        </w:rPr>
        <w:t xml:space="preserve">, sendo indispensável a manutenção de </w:t>
      </w:r>
      <w:r>
        <w:rPr>
          <w:rStyle w:val="Nfaseforte"/>
          <w:rFonts w:ascii="arial" w:hAnsi="arial"/>
          <w:b w:val="false"/>
          <w:bCs w:val="false"/>
        </w:rPr>
        <w:t>padronização rigorosa de tonalidade de cores, tipo de tecido, acabamento e padrão de costura</w:t>
      </w:r>
      <w:r>
        <w:rPr>
          <w:rFonts w:ascii="arial" w:hAnsi="arial"/>
          <w:b w:val="false"/>
          <w:bCs w:val="false"/>
        </w:rPr>
        <w:t>, de modo a garantir identidade visual uniforme e qualidade homogênea entre os produtos fornecidos.</w:t>
        <w:br/>
        <w:t xml:space="preserve">14.4 A eventual fragmentação do objeto por itens distintos pode resultar em </w:t>
      </w:r>
      <w:r>
        <w:rPr>
          <w:rStyle w:val="Nfaseforte"/>
          <w:rFonts w:ascii="arial" w:hAnsi="arial"/>
          <w:b w:val="false"/>
          <w:bCs w:val="false"/>
        </w:rPr>
        <w:t>variações indesejadas de tonalidade, diferenças de acabamento, divergências no padrão de costura e inconsistências na qualidade dos materiais</w:t>
      </w:r>
      <w:r>
        <w:rPr>
          <w:rFonts w:ascii="arial" w:hAnsi="arial"/>
          <w:b w:val="false"/>
          <w:bCs w:val="false"/>
        </w:rPr>
        <w:t>, comprometendo a finalidade pública da contratação e gerando desigualdade entre os alunos beneficiários.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14.5</w:t>
      </w:r>
      <w:r>
        <w:rPr>
          <w:rFonts w:ascii="arial" w:hAnsi="arial"/>
          <w:b w:val="false"/>
          <w:bCs w:val="false"/>
        </w:rPr>
        <w:t xml:space="preserve"> No caso específico do Município de Paranaguá, </w:t>
      </w:r>
      <w:r>
        <w:rPr>
          <w:rStyle w:val="Nfaseforte"/>
          <w:rFonts w:ascii="arial" w:hAnsi="arial"/>
          <w:b w:val="false"/>
          <w:bCs w:val="false"/>
        </w:rPr>
        <w:t>não se aplica o parcelamento do objeto em sua totalidade</w:t>
      </w:r>
      <w:r>
        <w:rPr>
          <w:rFonts w:ascii="arial" w:hAnsi="arial"/>
          <w:b w:val="false"/>
          <w:bCs w:val="false"/>
        </w:rPr>
        <w:t>, pois a divisão excessiva dos itens comprometeria a padronização, coerência estética e qualidade dos uniformes escolares. Assim, o julgamento por grupos/lotes revela-se a estratégia mais adequada, por possibilitar ganhos de escala, redução de custos administrativos e evitar a fragmentação do objeto, promovendo uma gestão contratual mais eficiente.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14.6</w:t>
      </w:r>
      <w:r>
        <w:rPr>
          <w:rFonts w:ascii="arial" w:hAnsi="arial"/>
          <w:b w:val="false"/>
          <w:bCs w:val="false"/>
        </w:rPr>
        <w:t xml:space="preserve"> A centralização da contratação em um único fornecedor (ou por grupos integrados), respeitada a ampla competitividade do certame, permite maior controle sobre o processo produtivo, assegurando que todos os itens sejam confeccionados sob o mesmo padrão técnico e estético. Ademais, tal modelo proporciona </w:t>
      </w:r>
      <w:r>
        <w:rPr>
          <w:rStyle w:val="Nfaseforte"/>
          <w:rFonts w:ascii="arial" w:hAnsi="arial"/>
          <w:b w:val="false"/>
          <w:bCs w:val="false"/>
        </w:rPr>
        <w:t>economicidade</w:t>
      </w:r>
      <w:r>
        <w:rPr>
          <w:rFonts w:ascii="arial" w:hAnsi="arial"/>
          <w:b w:val="false"/>
          <w:bCs w:val="false"/>
        </w:rPr>
        <w:t>, tendo em vista:</w:t>
      </w:r>
    </w:p>
    <w:p>
      <w:pPr>
        <w:pStyle w:val="Corpodotexto"/>
        <w:numPr>
          <w:ilvl w:val="0"/>
          <w:numId w:val="6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redução de custos logísticos e operacionais; </w:t>
      </w:r>
    </w:p>
    <w:p>
      <w:pPr>
        <w:pStyle w:val="Corpodotexto"/>
        <w:numPr>
          <w:ilvl w:val="0"/>
          <w:numId w:val="6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diminuição de despesas com fiscalização e gestão contratual; </w:t>
      </w:r>
    </w:p>
    <w:p>
      <w:pPr>
        <w:pStyle w:val="Corpodotexto"/>
        <w:numPr>
          <w:ilvl w:val="0"/>
          <w:numId w:val="6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ganhos de escala na produção; </w:t>
      </w:r>
    </w:p>
    <w:p>
      <w:pPr>
        <w:pStyle w:val="Corpodotexto"/>
        <w:numPr>
          <w:ilvl w:val="0"/>
          <w:numId w:val="6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maior eficiência na entrega e distribuição dos materiais. 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14.7</w:t>
      </w:r>
      <w:r>
        <w:rPr>
          <w:rFonts w:ascii="arial" w:hAnsi="arial"/>
          <w:b w:val="false"/>
          <w:bCs w:val="false"/>
        </w:rPr>
        <w:t xml:space="preserve"> O entendimento encontra respaldo na jurisprudência do Tribunal de Contas da União, que admite o não parcelamento do objeto quando tecnicamente justificado, especialmente para preservar a padronização e a eficiência da contratação. Nesse sentido:</w:t>
      </w:r>
    </w:p>
    <w:p>
      <w:pPr>
        <w:pStyle w:val="Corpodotexto"/>
        <w:numPr>
          <w:ilvl w:val="0"/>
          <w:numId w:val="7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/>
      </w:pPr>
      <w:r>
        <w:rPr>
          <w:rFonts w:ascii="arial" w:hAnsi="arial"/>
          <w:b w:val="false"/>
          <w:bCs w:val="false"/>
        </w:rPr>
        <w:t xml:space="preserve">O Acórdão 1.214/2013 – Plenário do TCU estabelece que o parcelamento deve ser adotado sempre que possível, </w:t>
      </w:r>
      <w:r>
        <w:rPr>
          <w:rStyle w:val="Nfaseforte"/>
          <w:rFonts w:ascii="arial" w:hAnsi="arial"/>
          <w:b w:val="false"/>
          <w:bCs w:val="false"/>
        </w:rPr>
        <w:t>desde que não haja prejuízo técnico ou econômico</w:t>
      </w:r>
      <w:r>
        <w:rPr>
          <w:rFonts w:ascii="arial" w:hAnsi="arial"/>
          <w:b w:val="false"/>
          <w:bCs w:val="false"/>
        </w:rPr>
        <w:t xml:space="preserve">, admitindo-se sua restrição quando a divisão comprometer a execução do objeto. </w:t>
      </w:r>
    </w:p>
    <w:p>
      <w:pPr>
        <w:pStyle w:val="Corpodotexto"/>
        <w:numPr>
          <w:ilvl w:val="0"/>
          <w:numId w:val="7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/>
      </w:pPr>
      <w:r>
        <w:rPr>
          <w:rFonts w:ascii="arial" w:hAnsi="arial"/>
          <w:b w:val="false"/>
          <w:bCs w:val="false"/>
        </w:rPr>
        <w:t xml:space="preserve">O Acórdão 2.622/2013 – Plenário do TCU reconhece a legitimidade do julgamento por lotes quando há </w:t>
      </w:r>
      <w:r>
        <w:rPr>
          <w:rStyle w:val="Nfaseforte"/>
          <w:rFonts w:ascii="arial" w:hAnsi="arial"/>
          <w:b w:val="false"/>
          <w:bCs w:val="false"/>
        </w:rPr>
        <w:t>interdependência entre os itens ou necessidade de padronização</w:t>
      </w:r>
      <w:r>
        <w:rPr>
          <w:rFonts w:ascii="arial" w:hAnsi="arial"/>
          <w:b w:val="false"/>
          <w:bCs w:val="false"/>
        </w:rPr>
        <w:t xml:space="preserve">, desde que devidamente motivado. </w:t>
      </w:r>
    </w:p>
    <w:p>
      <w:pPr>
        <w:pStyle w:val="Corpodotexto"/>
        <w:spacing w:lineRule="auto" w:line="36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</w:r>
    </w:p>
    <w:p>
      <w:pPr>
        <w:pStyle w:val="Corpodotexto"/>
        <w:spacing w:lineRule="auto" w:line="360" w:before="0" w:after="283"/>
        <w:jc w:val="both"/>
        <w:rPr/>
      </w:pPr>
      <w:r>
        <w:rPr>
          <w:rFonts w:ascii="arial" w:hAnsi="arial"/>
          <w:b w:val="false"/>
          <w:bCs w:val="false"/>
        </w:rPr>
        <w:t xml:space="preserve">14.8 A definição quanto ao parcelamento do objeto foi realizada com base no planejamento da contratação, nos termos da Lei 14.133/2021, especialmente em atenção ao </w:t>
      </w:r>
      <w:r>
        <w:rPr>
          <w:rStyle w:val="Nfaseforte"/>
          <w:rFonts w:ascii="arial" w:hAnsi="arial"/>
          <w:b w:val="false"/>
          <w:bCs w:val="false"/>
        </w:rPr>
        <w:t>art. 23, §1º</w:t>
      </w:r>
      <w:r>
        <w:rPr>
          <w:rFonts w:ascii="arial" w:hAnsi="arial"/>
          <w:b w:val="false"/>
          <w:bCs w:val="false"/>
        </w:rPr>
        <w:t xml:space="preserve">, que estabelece a adoção do parcelamento sempre que tecnicamente viável, </w:t>
      </w:r>
      <w:r>
        <w:rPr>
          <w:rStyle w:val="Nfaseforte"/>
          <w:rFonts w:ascii="arial" w:hAnsi="arial"/>
          <w:b w:val="false"/>
          <w:bCs w:val="false"/>
        </w:rPr>
        <w:t>sem prejuízo da economia de escala</w:t>
      </w:r>
      <w:r>
        <w:rPr>
          <w:rFonts w:ascii="arial" w:hAnsi="arial"/>
          <w:b w:val="false"/>
          <w:bCs w:val="false"/>
        </w:rPr>
        <w:t xml:space="preserve">, bem como ao </w:t>
      </w:r>
      <w:r>
        <w:rPr>
          <w:rStyle w:val="Nfaseforte"/>
          <w:rFonts w:ascii="arial" w:hAnsi="arial"/>
          <w:b w:val="false"/>
          <w:bCs w:val="false"/>
        </w:rPr>
        <w:t>art. 40</w:t>
      </w:r>
      <w:r>
        <w:rPr>
          <w:rFonts w:ascii="arial" w:hAnsi="arial"/>
          <w:b w:val="false"/>
          <w:bCs w:val="false"/>
        </w:rPr>
        <w:t>, que impõe à Administração o dever de observar a padronização e a racionalização das aquisições.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14.9 No caso concreto, a natureza dos itens — especialmente os de confecção têxtil exige a manutenção de rigorosa padronização quanto à tonalidade de cores, tipo de tecido, modelagem, acabamento e padrão de costura, de modo a assegurar uniformidade estética e qualidade homogênea dos produtos fornecidos.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14.10 A fragmentação do objeto, nesse contexto, acarretaria risco concreto de divergências entre fornecedores, comprometendo a identidade visual dos uniformes escolares e a eficiência da contratação.</w:t>
      </w:r>
    </w:p>
    <w:p>
      <w:pPr>
        <w:pStyle w:val="Corpodotexto"/>
        <w:spacing w:lineRule="auto" w:line="360" w:before="0" w:after="283"/>
        <w:jc w:val="both"/>
        <w:rPr/>
      </w:pPr>
      <w:r>
        <w:rPr>
          <w:rFonts w:ascii="arial" w:hAnsi="arial"/>
          <w:b w:val="false"/>
          <w:bCs w:val="false"/>
        </w:rPr>
        <w:t xml:space="preserve">14.11 Observa-se que os itens agrupados em cada lote possuem </w:t>
      </w:r>
      <w:r>
        <w:rPr>
          <w:rStyle w:val="Nfaseforte"/>
          <w:rFonts w:ascii="arial" w:hAnsi="arial"/>
          <w:b w:val="false"/>
          <w:bCs w:val="false"/>
        </w:rPr>
        <w:t>similaridade técnica e produtiva</w:t>
      </w:r>
      <w:r>
        <w:rPr>
          <w:rFonts w:ascii="arial" w:hAnsi="arial"/>
          <w:b w:val="false"/>
          <w:bCs w:val="false"/>
        </w:rPr>
        <w:t>, especialmente no que se refere à confecção têxtil, exigindo padronização de:</w:t>
      </w:r>
    </w:p>
    <w:p>
      <w:pPr>
        <w:pStyle w:val="Corpodotexto"/>
        <w:numPr>
          <w:ilvl w:val="0"/>
          <w:numId w:val="8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tonalidade de cores; </w:t>
      </w:r>
    </w:p>
    <w:p>
      <w:pPr>
        <w:pStyle w:val="Corpodotexto"/>
        <w:numPr>
          <w:ilvl w:val="0"/>
          <w:numId w:val="8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tipo de tecido; </w:t>
      </w:r>
    </w:p>
    <w:p>
      <w:pPr>
        <w:pStyle w:val="Corpodotexto"/>
        <w:numPr>
          <w:ilvl w:val="0"/>
          <w:numId w:val="8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modelagem; </w:t>
      </w:r>
    </w:p>
    <w:p>
      <w:pPr>
        <w:pStyle w:val="Corpodotexto"/>
        <w:numPr>
          <w:ilvl w:val="0"/>
          <w:numId w:val="8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acabamento e costura. 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14.12 A divisão adotada também respeita a segmentação do mercado, conforme evidenciado na separação entre:</w:t>
      </w:r>
    </w:p>
    <w:p>
      <w:pPr>
        <w:pStyle w:val="Corpodotexto"/>
        <w:numPr>
          <w:ilvl w:val="0"/>
          <w:numId w:val="9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vestuário, </w:t>
      </w:r>
    </w:p>
    <w:p>
      <w:pPr>
        <w:pStyle w:val="Corpodotexto"/>
        <w:numPr>
          <w:ilvl w:val="0"/>
          <w:numId w:val="9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meias, </w:t>
      </w:r>
    </w:p>
    <w:p>
      <w:pPr>
        <w:pStyle w:val="Corpodotexto"/>
        <w:numPr>
          <w:ilvl w:val="0"/>
          <w:numId w:val="9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calçados, </w:t>
      </w:r>
    </w:p>
    <w:p>
      <w:pPr>
        <w:pStyle w:val="Corpodotexto"/>
        <w:numPr>
          <w:ilvl w:val="0"/>
          <w:numId w:val="9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mochilas, 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assegurando ampla competitividade no certame.</w:t>
      </w:r>
    </w:p>
    <w:p>
      <w:pPr>
        <w:pStyle w:val="Corpodotexto"/>
        <w:spacing w:lineRule="auto" w:line="360" w:before="0" w:after="283"/>
        <w:jc w:val="both"/>
        <w:rPr/>
      </w:pPr>
      <w:r>
        <w:rPr>
          <w:rFonts w:ascii="arial" w:hAnsi="arial"/>
          <w:b w:val="false"/>
          <w:bCs w:val="false"/>
        </w:rPr>
        <w:t xml:space="preserve">14.13 Adicionalmente, os quantitativos expressivos por lote possibilitam </w:t>
      </w:r>
      <w:r>
        <w:rPr>
          <w:rStyle w:val="Nfaseforte"/>
          <w:rFonts w:ascii="arial" w:hAnsi="arial"/>
          <w:b w:val="false"/>
          <w:bCs w:val="false"/>
        </w:rPr>
        <w:t>ganhos de escala</w:t>
      </w:r>
      <w:r>
        <w:rPr>
          <w:rFonts w:ascii="arial" w:hAnsi="arial"/>
          <w:b w:val="false"/>
          <w:bCs w:val="false"/>
        </w:rPr>
        <w:t>, contribuindo para a redução dos custos unitários e para a obtenção da proposta mais vantajosa, em consonância com os princípios da economicidade e eficiência.</w:t>
      </w:r>
    </w:p>
    <w:p>
      <w:pPr>
        <w:pStyle w:val="Corpodotexto"/>
        <w:spacing w:lineRule="auto" w:line="360" w:before="0" w:after="283"/>
        <w:jc w:val="both"/>
        <w:rPr/>
      </w:pPr>
      <w:r>
        <w:rPr>
          <w:rFonts w:ascii="arial" w:hAnsi="arial"/>
          <w:b w:val="false"/>
          <w:bCs w:val="false"/>
        </w:rPr>
        <w:t xml:space="preserve">14.14 Diante disso, a opção pelo </w:t>
      </w:r>
      <w:r>
        <w:rPr>
          <w:rStyle w:val="Nfaseforte"/>
          <w:rFonts w:ascii="arial" w:hAnsi="arial"/>
          <w:b w:val="false"/>
          <w:bCs w:val="false"/>
        </w:rPr>
        <w:t>agrupamento por lotes tecnicamente homogêneos</w:t>
      </w:r>
      <w:r>
        <w:rPr>
          <w:rFonts w:ascii="arial" w:hAnsi="arial"/>
          <w:b w:val="false"/>
          <w:bCs w:val="false"/>
        </w:rPr>
        <w:t>, em detrimento do parcelamento integral, mostra-se medida:</w:t>
      </w:r>
    </w:p>
    <w:p>
      <w:pPr>
        <w:pStyle w:val="Corpodotexto"/>
        <w:numPr>
          <w:ilvl w:val="0"/>
          <w:numId w:val="10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tecnicamente justificada</w:t>
      </w:r>
      <w:r>
        <w:rPr>
          <w:rFonts w:ascii="arial" w:hAnsi="arial"/>
          <w:b w:val="false"/>
          <w:bCs w:val="false"/>
        </w:rPr>
        <w:t xml:space="preserve"> (padronização de confecção); </w:t>
      </w:r>
    </w:p>
    <w:p>
      <w:pPr>
        <w:pStyle w:val="Corpodotexto"/>
        <w:numPr>
          <w:ilvl w:val="0"/>
          <w:numId w:val="10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economicamente vantajosa</w:t>
      </w:r>
      <w:r>
        <w:rPr>
          <w:rFonts w:ascii="arial" w:hAnsi="arial"/>
          <w:b w:val="false"/>
          <w:bCs w:val="false"/>
        </w:rPr>
        <w:t xml:space="preserve"> (ganho de escala comprovado pelos quantitativos); </w:t>
      </w:r>
    </w:p>
    <w:p>
      <w:pPr>
        <w:pStyle w:val="Corpodotexto"/>
        <w:numPr>
          <w:ilvl w:val="0"/>
          <w:numId w:val="10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operacionalmente eficiente</w:t>
      </w:r>
      <w:r>
        <w:rPr>
          <w:rFonts w:ascii="arial" w:hAnsi="arial"/>
          <w:b w:val="false"/>
          <w:bCs w:val="false"/>
        </w:rPr>
        <w:t xml:space="preserve"> (facilita controle, logística e fiscalização); 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evitando riscos concretos de:</w:t>
      </w:r>
    </w:p>
    <w:p>
      <w:pPr>
        <w:pStyle w:val="Corpodotexto"/>
        <w:numPr>
          <w:ilvl w:val="0"/>
          <w:numId w:val="11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divergência de tonalidades e padrões; </w:t>
      </w:r>
    </w:p>
    <w:p>
      <w:pPr>
        <w:pStyle w:val="Corpodotexto"/>
        <w:numPr>
          <w:ilvl w:val="0"/>
          <w:numId w:val="11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inconsistência de qualidade entre fornecedores distintos; </w:t>
      </w:r>
    </w:p>
    <w:p>
      <w:pPr>
        <w:pStyle w:val="Corpodotexto"/>
        <w:numPr>
          <w:ilvl w:val="0"/>
          <w:numId w:val="11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prejuízo à identidade visual dos uniformes escolares; </w:t>
      </w:r>
    </w:p>
    <w:p>
      <w:pPr>
        <w:pStyle w:val="Corpodotexto"/>
        <w:numPr>
          <w:ilvl w:val="0"/>
          <w:numId w:val="11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aumento de custos administrativos e operacionais. </w:t>
      </w:r>
    </w:p>
    <w:p>
      <w:pPr>
        <w:pStyle w:val="Corpodotexto"/>
        <w:spacing w:lineRule="auto" w:line="360" w:before="0" w:after="283"/>
        <w:jc w:val="both"/>
        <w:rPr/>
      </w:pPr>
      <w:r>
        <w:rPr>
          <w:rFonts w:ascii="arial" w:hAnsi="arial"/>
          <w:b w:val="false"/>
          <w:bCs w:val="false"/>
        </w:rPr>
        <w:t xml:space="preserve">14.15 Assim, a modelagem adotada encontra-se plenamente alinhada aos princípios da </w:t>
      </w:r>
      <w:r>
        <w:rPr>
          <w:rStyle w:val="Nfaseforte"/>
          <w:rFonts w:ascii="arial" w:hAnsi="arial"/>
          <w:b w:val="false"/>
          <w:bCs w:val="false"/>
        </w:rPr>
        <w:t>eficiência, economicidade e planejamento</w:t>
      </w:r>
      <w:r>
        <w:rPr>
          <w:rFonts w:ascii="arial" w:hAnsi="arial"/>
          <w:b w:val="false"/>
          <w:bCs w:val="false"/>
        </w:rPr>
        <w:t>, bem como à jurisprudência consolidada do Tribunal de Contas da União, atendendo integralmente ao interesse público.</w:t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  <w:u w:val="single"/>
        </w:rPr>
        <w:t>15. JUSTIFICATIVA PARA NÃO INCLUSÃO DE COTAS RESERVADAS</w:t>
      </w:r>
    </w:p>
    <w:p>
      <w:pPr>
        <w:pStyle w:val="Corpodotexto"/>
        <w:widowControl/>
        <w:spacing w:lineRule="auto" w:line="360"/>
        <w:ind w:left="0" w:hanging="0"/>
        <w:jc w:val="both"/>
        <w:rPr>
          <w:rStyle w:val="Nfaseforte"/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Corpodotexto"/>
        <w:widowControl/>
        <w:spacing w:lineRule="auto" w:line="360"/>
        <w:ind w:lef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15.1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A não adoção de cotas reservadas para microempresas e empresas de pequeno porte, nos termos do art. 48 da Lei Complementar nº 123/2006 e do Decreto nº 8.538/2015, decorre de análise técnica realizada na fase de planejamento da contratação, em consonância com a Lei 14.133/2021, especialmente quanto aos princípios da eficiência, economicidade e padronização.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15.2</w:t>
      </w:r>
      <w:r>
        <w:rPr>
          <w:rFonts w:ascii="arial" w:hAnsi="arial"/>
          <w:b w:val="false"/>
          <w:bCs w:val="false"/>
        </w:rPr>
        <w:t xml:space="preserve"> Embora a legislação preveja tratamento diferenciado às microempresas e empresas de pequeno porte, tal medida </w:t>
      </w:r>
      <w:r>
        <w:rPr>
          <w:rStyle w:val="Nfaseforte"/>
          <w:rFonts w:ascii="arial" w:hAnsi="arial"/>
          <w:b w:val="false"/>
          <w:bCs w:val="false"/>
        </w:rPr>
        <w:t>não possui caráter absoluto</w:t>
      </w:r>
      <w:r>
        <w:rPr>
          <w:rFonts w:ascii="arial" w:hAnsi="arial"/>
          <w:b w:val="false"/>
          <w:bCs w:val="false"/>
        </w:rPr>
        <w:t>, podendo ser afastada quando demonstrada, de forma motivada, a sua incompatibilidade com o interesse público ou quando sua adoção comprometer a eficiência da contratação.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15.3</w:t>
      </w:r>
      <w:r>
        <w:rPr>
          <w:rFonts w:ascii="arial" w:hAnsi="arial"/>
          <w:b w:val="false"/>
          <w:bCs w:val="false"/>
        </w:rPr>
        <w:t xml:space="preserve"> No caso concreto, a eventual divisão do objeto em cotas distintas implicaria a contratação de múltiplos fornecedores para itens que exigem </w:t>
      </w:r>
      <w:r>
        <w:rPr>
          <w:rStyle w:val="Nfaseforte"/>
          <w:rFonts w:ascii="arial" w:hAnsi="arial"/>
          <w:b w:val="false"/>
          <w:bCs w:val="false"/>
        </w:rPr>
        <w:t>padronização rigorosa</w:t>
      </w:r>
      <w:r>
        <w:rPr>
          <w:rFonts w:ascii="arial" w:hAnsi="arial"/>
          <w:b w:val="false"/>
          <w:bCs w:val="false"/>
        </w:rPr>
        <w:t>, especialmente no que se refere à confecção dos uniformes escolares, envolvendo:</w:t>
      </w:r>
    </w:p>
    <w:p>
      <w:pPr>
        <w:pStyle w:val="Corpodotexto"/>
        <w:numPr>
          <w:ilvl w:val="0"/>
          <w:numId w:val="12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tonalidade de cores; </w:t>
      </w:r>
    </w:p>
    <w:p>
      <w:pPr>
        <w:pStyle w:val="Corpodotexto"/>
        <w:numPr>
          <w:ilvl w:val="0"/>
          <w:numId w:val="12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tipo de tecido; </w:t>
      </w:r>
    </w:p>
    <w:p>
      <w:pPr>
        <w:pStyle w:val="Corpodotexto"/>
        <w:numPr>
          <w:ilvl w:val="0"/>
          <w:numId w:val="12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modelagem; </w:t>
      </w:r>
    </w:p>
    <w:p>
      <w:pPr>
        <w:pStyle w:val="Corpodotexto"/>
        <w:numPr>
          <w:ilvl w:val="0"/>
          <w:numId w:val="12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acabamento e padrão de costura. 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15.4 Tal fragmentação comprometeria a uniformidade estética e a qualidade dos produtos, gerando risco de fornecimento heterogêneo entre os alunos da rede pública municipal.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15.5</w:t>
      </w:r>
      <w:r>
        <w:rPr>
          <w:rFonts w:ascii="arial" w:hAnsi="arial"/>
          <w:b w:val="false"/>
          <w:bCs w:val="false"/>
        </w:rPr>
        <w:t xml:space="preserve"> Ademais, a divisão em cotas acarretaria impactos operacionais relevantes, tais como:</w:t>
      </w:r>
    </w:p>
    <w:p>
      <w:pPr>
        <w:pStyle w:val="Corpodotexto"/>
        <w:numPr>
          <w:ilvl w:val="0"/>
          <w:numId w:val="13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aumento da complexidade logística na distribuição dos itens; </w:t>
      </w:r>
    </w:p>
    <w:p>
      <w:pPr>
        <w:pStyle w:val="Corpodotexto"/>
        <w:numPr>
          <w:ilvl w:val="0"/>
          <w:numId w:val="13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multiplicidade de contratos e fornecedores; </w:t>
      </w:r>
    </w:p>
    <w:p>
      <w:pPr>
        <w:pStyle w:val="Corpodotexto"/>
        <w:numPr>
          <w:ilvl w:val="0"/>
          <w:numId w:val="13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maior custo administrativo para fiscalização e gestão contratual; </w:t>
      </w:r>
    </w:p>
    <w:p>
      <w:pPr>
        <w:pStyle w:val="Corpodotexto"/>
        <w:numPr>
          <w:ilvl w:val="0"/>
          <w:numId w:val="13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risco de descompasso nos prazos de entrega; </w:t>
      </w:r>
    </w:p>
    <w:p>
      <w:pPr>
        <w:pStyle w:val="Corpodotexto"/>
        <w:numPr>
          <w:ilvl w:val="0"/>
          <w:numId w:val="13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possibilidade de variação nos padrões de qualidade. 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15.6</w:t>
      </w:r>
      <w:r>
        <w:rPr>
          <w:rFonts w:ascii="arial" w:hAnsi="arial"/>
          <w:b w:val="false"/>
          <w:bCs w:val="false"/>
        </w:rPr>
        <w:t xml:space="preserve"> Sob o aspecto econômico, a fragmentação do objeto comprometeria os </w:t>
      </w:r>
      <w:r>
        <w:rPr>
          <w:rStyle w:val="Nfaseforte"/>
          <w:rFonts w:ascii="arial" w:hAnsi="arial"/>
          <w:b w:val="false"/>
          <w:bCs w:val="false"/>
        </w:rPr>
        <w:t>ganhos de escala</w:t>
      </w:r>
      <w:r>
        <w:rPr>
          <w:rFonts w:ascii="arial" w:hAnsi="arial"/>
          <w:b w:val="false"/>
          <w:bCs w:val="false"/>
        </w:rPr>
        <w:t>, elevando os custos unitários e afastando a obtenção da proposta mais vantajosa para a Administração, em desacordo com o disposto no art. 23 da Lei nº 14.133/2021.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15.7</w:t>
      </w:r>
      <w:r>
        <w:rPr>
          <w:rFonts w:ascii="arial" w:hAnsi="arial"/>
          <w:b w:val="false"/>
          <w:bCs w:val="false"/>
        </w:rPr>
        <w:t xml:space="preserve"> Destaca-se, ainda, que a execução contratual exige capacidade operacional compatível com os elevados quantitativos previstos, o que demanda estrutura produtiva, logística e financeira adequada, sendo que a pulverização do objeto pode aumentar o risco de inadimplemento parcial ou total, comprometendo a continuidade do fornecimento.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15.8</w:t>
      </w:r>
      <w:r>
        <w:rPr>
          <w:rFonts w:ascii="arial" w:hAnsi="arial"/>
          <w:b w:val="false"/>
          <w:bCs w:val="false"/>
        </w:rPr>
        <w:t xml:space="preserve"> A jurisprudência do Tribunal de Contas da União admite a mitigação de medidas que, embora voltadas à ampliação da competitividade, possam comprometer a eficiência e a adequada execução do objeto, especialmente quando demonstrada a necessidade de padronização e ganho de escala.</w:t>
      </w:r>
    </w:p>
    <w:p>
      <w:pPr>
        <w:pStyle w:val="Corpodotexto"/>
        <w:widowControl/>
        <w:spacing w:lineRule="auto" w:line="360"/>
        <w:ind w:left="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15.9 A jurisprudência do Tribunal de Contas da União é firme no sentido de que o tratamento favorecido às microempresas e empresas de pequeno porte deve ser aplicado de forma compatível com a vantajosidade e a eficiência da contratação, podendo ser afastado quando tecnicamente justificado.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15.9.1 Nesse sentido, o Acórdão 2.846/2013 – Plenário do TCU reforça que a Administração deve sempre buscar a proposta mais vantajosa, não sendo admissível a adoção de medidas que comprometam esse objetivo.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15.9.2 De igual modo, o Acórdão 2.622/2013 – Plenário do TCU admite a adoção de soluções que privilegiem a eficiência e a adequada execução contratual, especialmente quando houver necessidade de padronização.</w:t>
      </w:r>
    </w:p>
    <w:p>
      <w:pPr>
        <w:pStyle w:val="Corpodotexto"/>
        <w:spacing w:lineRule="auto" w:line="360" w:before="0" w:after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>15.9.3 Ainda, conforme orientação consolidada do TCU, o tratamento diferenciado às microempresas e empresas de pequeno porte não deve ser aplicado quando:</w:t>
      </w:r>
    </w:p>
    <w:p>
      <w:pPr>
        <w:pStyle w:val="Corpodotexto"/>
        <w:numPr>
          <w:ilvl w:val="0"/>
          <w:numId w:val="15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não for vantajoso para a Administração; ou </w:t>
      </w:r>
    </w:p>
    <w:p>
      <w:pPr>
        <w:pStyle w:val="Corpodotexto"/>
        <w:numPr>
          <w:ilvl w:val="0"/>
          <w:numId w:val="15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representar prejuízo ao conjunto do objeto contratado </w:t>
      </w:r>
    </w:p>
    <w:p>
      <w:pPr>
        <w:pStyle w:val="Corpodotexto"/>
        <w:spacing w:lineRule="auto" w:line="360" w:before="0" w:after="283"/>
        <w:jc w:val="both"/>
        <w:rPr/>
      </w:pPr>
      <w:r>
        <w:rPr>
          <w:rStyle w:val="Nfaseforte"/>
          <w:rFonts w:ascii="arial" w:hAnsi="arial"/>
          <w:b w:val="false"/>
          <w:bCs w:val="false"/>
        </w:rPr>
        <w:t>15.10</w:t>
      </w:r>
      <w:r>
        <w:rPr>
          <w:rFonts w:ascii="arial" w:hAnsi="arial"/>
          <w:b w:val="false"/>
          <w:bCs w:val="false"/>
        </w:rPr>
        <w:t xml:space="preserve"> Dessa forma, a não adoção de cotas reservadas mostra-se medida </w:t>
      </w:r>
      <w:r>
        <w:rPr>
          <w:rStyle w:val="Nfaseforte"/>
          <w:rFonts w:ascii="arial" w:hAnsi="arial"/>
          <w:b w:val="false"/>
          <w:bCs w:val="false"/>
        </w:rPr>
        <w:t>tecnicamente justificada, proporcional e alinhada ao interesse público</w:t>
      </w:r>
      <w:r>
        <w:rPr>
          <w:rFonts w:ascii="arial" w:hAnsi="arial"/>
          <w:b w:val="false"/>
          <w:bCs w:val="false"/>
        </w:rPr>
        <w:t>, assegurando:</w:t>
      </w:r>
    </w:p>
    <w:p>
      <w:pPr>
        <w:pStyle w:val="Corpodotexto"/>
        <w:numPr>
          <w:ilvl w:val="0"/>
          <w:numId w:val="14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fornecimento contínuo; </w:t>
      </w:r>
    </w:p>
    <w:p>
      <w:pPr>
        <w:pStyle w:val="Corpodotexto"/>
        <w:numPr>
          <w:ilvl w:val="0"/>
          <w:numId w:val="14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padronização dos materiais; </w:t>
      </w:r>
    </w:p>
    <w:p>
      <w:pPr>
        <w:pStyle w:val="Corpodotexto"/>
        <w:numPr>
          <w:ilvl w:val="0"/>
          <w:numId w:val="14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eficiência logística; </w:t>
      </w:r>
    </w:p>
    <w:p>
      <w:pPr>
        <w:pStyle w:val="Corpodotexto"/>
        <w:numPr>
          <w:ilvl w:val="0"/>
          <w:numId w:val="14"/>
        </w:numPr>
        <w:tabs>
          <w:tab w:val="clear" w:pos="720"/>
          <w:tab w:val="left" w:pos="0" w:leader="none"/>
        </w:tabs>
        <w:spacing w:lineRule="auto" w:line="360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economicidade; </w:t>
      </w:r>
    </w:p>
    <w:p>
      <w:pPr>
        <w:pStyle w:val="Corpodotexto"/>
        <w:numPr>
          <w:ilvl w:val="0"/>
          <w:numId w:val="14"/>
        </w:numPr>
        <w:tabs>
          <w:tab w:val="clear" w:pos="720"/>
          <w:tab w:val="left" w:pos="0" w:leader="none"/>
        </w:tabs>
        <w:spacing w:lineRule="auto" w:line="360" w:before="0" w:after="283"/>
        <w:ind w:left="707" w:hanging="28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</w:rPr>
        <w:t xml:space="preserve">adequada execução contratual. </w:t>
      </w:r>
    </w:p>
    <w:p>
      <w:pPr>
        <w:pStyle w:val="Corpodotexto"/>
        <w:widowControl/>
        <w:spacing w:lineRule="auto" w:line="360" w:before="0" w:after="283"/>
        <w:ind w:left="0" w:hanging="0"/>
        <w:jc w:val="both"/>
        <w:rPr/>
      </w:pPr>
      <w:r>
        <w:rPr>
          <w:rStyle w:val="Nfaseforte"/>
          <w:rFonts w:cs="Arial" w:ascii="arial" w:hAnsi="arial"/>
          <w:b w:val="false"/>
          <w:bCs w:val="false"/>
          <w:sz w:val="24"/>
          <w:szCs w:val="24"/>
        </w:rPr>
        <w:t>15.11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 Ressalta-se, por fim, que a modelagem adotada não impede a participação de microempresas e empresas de pequeno porte no certame, permanecendo assegurada a ampla competitividade, nos termos da legislação vigente.</w:t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16 IMPACTOS AMBIENTAIS 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  <w:highlight w:val="white"/>
        </w:rPr>
        <w:t>16.1 Não se vislumbra a ocorrência de possíveis </w:t>
      </w:r>
      <w:r>
        <w:rPr>
          <w:rStyle w:val="Nfase"/>
          <w:rFonts w:cs="Arial" w:ascii="Arial" w:hAnsi="Arial"/>
          <w:sz w:val="24"/>
          <w:szCs w:val="24"/>
          <w:highlight w:val="white"/>
        </w:rPr>
        <w:t>impactos ambientais</w:t>
      </w:r>
      <w:r>
        <w:rPr>
          <w:rFonts w:cs="Arial" w:ascii="Arial" w:hAnsi="Arial"/>
          <w:sz w:val="24"/>
          <w:szCs w:val="24"/>
          <w:highlight w:val="white"/>
        </w:rPr>
        <w:t> gerados pela contratação em </w:t>
      </w:r>
      <w:r>
        <w:rPr>
          <w:rStyle w:val="Nfase"/>
          <w:rFonts w:cs="Arial" w:ascii="Arial" w:hAnsi="Arial"/>
          <w:sz w:val="24"/>
          <w:szCs w:val="24"/>
          <w:highlight w:val="white"/>
        </w:rPr>
        <w:t>estudo.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17 CRITÉRIOS DE SUSTENTABILIDADE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17.1 Além dos critérios de sustentabilidade que possam ser incluídos na descrição do objeto, é necessário cumprir as orientações estabelecidas no Guia Nacional de Contratações Sustentáveis, elaborado pela Advocacia-Geral da União e disponibilizado pela Consultoria Geral da União.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17.2 Além disso, os UNIFORMES, TENIS E MOCHILA escolares  devem, preferencialmente, ser embalados de forma apropriada, utilizando o menor volume possível, e com materiais recicláveis, de modo a garantir sua máxima proteção durante o transporte e o armazenamento.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18 CONTRATAÇÕES CORRELATAS OU INTERDEPENDENTES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18.1 Não se aplica.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19 DESCRIÇÃO DA SOLUÇÃO COMO UM TODO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19.1 Recomenda-se a continuidade dos trâmites administrativos necessários para a formalização da adesão e subsequente contratação.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19.2 Dado que a demanda para esse objeto é variável, optou-se pelo modelo de Registro de Preços.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19..3 Não será necessária garantia de execução, e a subcontratação de parte ou totalidade do objeto não será permitida. A transição contratual também não é necessária para este processo.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19.4 O prazo para o recebimento provisório e definitivo dos materiais, bem como os critérios para pagamento, serão devidamente detalhados no Termo de Referência.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19.5 Os critérios de sustentabilidade estarão incorporados às especificações dos materiais, de modo que atendem a requisitos técnicos sustentáveis.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19.6 Considerando a natureza do objeto, trata-se de materiais comuns, conforme o Parágrafo Único do art. 6º, inciso XIII, e o art. 20 da Lei 14.133/2021, uma vez que as especificações atendem a padrões de desempenho e qualidade amplamente reconhecidos no mercado.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19.7 O objeto não é classificado como bem de luxo.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Os critérios para julgamento das propostas e os requisitos para qualificação técnica serão definidos no Termo de Referência, conforme os pontos abordados neste Estudo.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19.8 As exigências relacionadas à habilitação jurídica, fiscal e trabalhista, bem como os critérios para qualificação econômico-financeira, estarão dispostos de acordo com a legislação vigente e constarão no Edital.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19.9 Os materiais a serem adquiridos deverão ser novos, conforme as especificações delineadas nos instrumentos de planejamento (ETP e TR).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19.10 Os interessados deverão comprovar sua atuação no ramo de atividade relacionado ao objeto da licitação e apresentar todos os documentos exigidos para habilitação, conforme estabelecido no art. 62 da Lei nº 14.133/2021.</w:t>
      </w:r>
    </w:p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>20 MAPEAMENTO DE RISCOS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20.1 O mapeamento de riscos referente à AQUISIÇÃO   DE UNIFORMES, TENIS E MOCHILA escolares para os alunos matriculados na Rede Pública Municipal de Ensino de Paranaguá tem como objetivo identificar e analisar os principais fatores que possam comprometer a eficácia, a economicidade e a continuidade do fornecimento, bem como propor estratégias de mitigação compatíveis com as diretrizes estabelecidas pela Lei nº 14.133/2021, especialmente no que dispõe o art. 20, inciso IV.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20.2 Um dos riscos mais relevantes identificados está relacionado à possibilidade de atrasos na entrega dos uniformes escolares, o que pode comprometer a regularidade da distribuição aos alunos. Para mitigar esse risco, recomenda-se o estabelecimento de prazos bem definidos no contrato, a fixação de penalidades em caso de descumprimento, bem como a elaboração de um cronograma de entrega escalonado, que possibilite o monitoramento e a atuação preventiva por parte da fiscalização contratual.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20.3 Outro risco considerável diz respeito à entrega de produtos em desconformidade com as especificações técnicas, seja em relação à qualidade do tecido, à resistência dos calçados ou à padronização das peças. Tal cenário pode gerar insatisfação por parte da comunidade escolar e necessidade de substituição dos itens, acarretando prejuízos à Administração. Para mitigação, é imprescindível que o Termo de Referência contenha especificações técnicas claras, objetivas e detalhadas, bem como a exigência de apresentação de amostras prévias e a realização de testes de qualidade antes do aceite definitivo.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20.4 A inadequação das quantidades e tamanhos dos UNIFORMES, TENIS E MOCHILA escolares, em razão de estimativas imprecisas ou desatualizadas da população estudantil, também representa um risco, além da previsão contratual de eventuais ajustes quantitativos permitidos pela legislação.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20.5 Também se considera o risco de descontinuidade do fornecimento ao longo do exercício, o que comprometeria a padronização e a equidade nas escolas municipais. A mitigação passa pela classificação da contratação como de fornecimento contínuo, permitindo a prorrogação contratual e a programação orçamentária adequada, além do acompanhamento sistemático da execução.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20.6 Há ainda o risco de inexecução contratual decorrente de problemas financeiros ou estruturais por parte da empresa contratada, o que exige, como medida preventiva, uma análise minuciosa da documentação de habilitação econômico-financeira, conforme exigido nos editais, além da possibilidade de exigência de garantias contratuais, nos termos do art. 96 da Lei nº 14.133/2021.</w:t>
      </w:r>
    </w:p>
    <w:p>
      <w:pPr>
        <w:pStyle w:val="ListParagraph"/>
        <w:widowControl/>
        <w:spacing w:lineRule="auto" w:line="360"/>
        <w:ind w:left="0" w:hanging="0"/>
        <w:jc w:val="both"/>
        <w:rPr/>
      </w:pPr>
      <w:r>
        <w:rPr>
          <w:rFonts w:cs="Arial" w:ascii="Arial" w:hAnsi="Arial"/>
          <w:sz w:val="24"/>
          <w:szCs w:val="24"/>
        </w:rPr>
        <w:t>20.7 Por fim, é necessário considerar o risco reputacional para a Administração Pública, decorrente de eventual insatisfação da comunidade escolar com o serviço prestado ou com a qualidade dos itens entregues. Para mitigar tal risco, é recomendável que a gestão do contrato ocorra de forma transparente, com ampla divulgação dos critérios técnicos utilizados, além da criação de canais de ouvidoria para recebimento e tratamento de manifestações dos usuários finais.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20.8 A adoção deste mapeamento de riscos permite à Administração antever possíveis entraves e adotar providências estratégicas e tempestivas, assegurando maior robustez à contratação e garantindo que o fornecimento dos UNIFORMES, TENIS E MOCHILA escolares ocorra de forma eficiente, regular e alinhada ao interesse público.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5000" w:type="pct"/>
        <w:jc w:val="center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2100"/>
        <w:gridCol w:w="1656"/>
        <w:gridCol w:w="1024"/>
        <w:gridCol w:w="1589"/>
        <w:gridCol w:w="2811"/>
      </w:tblGrid>
      <w:tr>
        <w:trPr>
          <w:trHeight w:val="300" w:hRule="atLeast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Risco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15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Classificação</w:t>
            </w:r>
          </w:p>
        </w:tc>
        <w:tc>
          <w:tcPr>
            <w:tcW w:w="28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Ação de Mitigação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Falha na Qualidade</w:t>
              <w:br/>
              <w:t>dos Materiais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Alta 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Crítico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Exigir amostras e testes de qualidade antes da assinatura do contrato. Garantia de substituição de materiais defeituosos.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Atraso na Entrega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Estabelecer prazos claros no contrato com penalidades por atraso. Acompanhamento constante das entregas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Inadequação na</w:t>
              <w:br/>
              <w:t>Quantidade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Médio 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Ajustes no contrato caso haja variação no número de alunos.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Superfaturamento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Baixa 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Realizar pesquisa de mercado e cotações de múltiplos fornecedores. Exigir transparência na composição dos preços.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Falência ou</w:t>
              <w:br/>
              <w:t>Insolvência do</w:t>
              <w:br/>
              <w:t>Fornecedor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Baixa 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Exigir garantias financeiras como fiança bancária ou seguro de execução. Verificar a saúde financeira do fornecedor.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Problemas Logísticos</w:t>
              <w:br/>
              <w:t>de Distribuição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Planejamento logístico detalhado. Acompanhamento do status da distribuição pelas escolas.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Problemas de</w:t>
              <w:br/>
              <w:t>Armazenamento</w:t>
              <w:br/>
              <w:t>(Danos aos Materiais)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Médio 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Inspeção nas condições de armazenamento antes da liberação dos materiais. Exigir comprovação de infraestrutura adequada.</w:t>
            </w:r>
          </w:p>
        </w:tc>
      </w:tr>
      <w:tr>
        <w:trPr>
          <w:trHeight w:val="18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Desajuste com</w:t>
              <w:br/>
              <w:t>Normas Legais e</w:t>
              <w:br/>
              <w:t>Regulamentares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Alto 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Garantir a conformidade com a legislação vigente. Consultoria jurídica durante todo o processo licitatório e execução do contrato.</w:t>
            </w:r>
          </w:p>
        </w:tc>
      </w:tr>
      <w:tr>
        <w:trPr>
          <w:trHeight w:val="1500" w:hRule="atLeast"/>
        </w:trPr>
        <w:tc>
          <w:tcPr>
            <w:tcW w:w="2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24"/>
                <w:szCs w:val="24"/>
                <w:lang w:eastAsia="pt-BR"/>
              </w:rPr>
              <w:t>Contestação do</w:t>
              <w:br/>
              <w:t>Processo Licitatório</w:t>
            </w:r>
          </w:p>
        </w:tc>
        <w:tc>
          <w:tcPr>
            <w:tcW w:w="1656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1024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2811" w:type="dxa"/>
            <w:tcBorders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spacing w:lineRule="auto" w:line="360"/>
              <w:jc w:val="both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Garantir total transparência nas etapas do processo licitatório. Documentação clara e fundamentada para todas as decisões.</w:t>
            </w:r>
          </w:p>
        </w:tc>
      </w:tr>
    </w:tbl>
    <w:p>
      <w:pPr>
        <w:pStyle w:val="ListParagraph"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widowControl/>
        <w:shd w:val="clear" w:color="auto" w:fill="D9D9D9"/>
        <w:spacing w:lineRule="auto" w:line="360"/>
        <w:ind w:left="0" w:hanging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cs="Arial" w:ascii="Arial" w:hAnsi="Arial"/>
          <w:bCs/>
          <w:sz w:val="24"/>
          <w:szCs w:val="24"/>
          <w:u w:val="single"/>
        </w:rPr>
        <w:t xml:space="preserve">21 DECLARAÇÃO DE VIABILIDADE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21.1 A declaração de viabilidade para a AQUISIÇÃO   DE UNIFORMES, TENIS E MOCHILA escolares no Município de Paranaguá tem como objetivo assegurar que o projeto pode ser realizado de forma viável sob os aspectos financeiro, operacional, logístico e legal, atendendo às exigências necessárias para sua implementação.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21.2 Do ponto de vista financeiro, a viabilidade da compra dos uniformes escolares está garantida pela previsão orçamentária vigente, com os recursos necessários já devidamente alocados no orçamento municipal. O processo licitatório será conduzido para assegurar a utilização eficiente desses recursos, por meio de cotações de mercado e uma análise detalhada das propostas, com o objetivo de obter a melhor relação custo-benefício.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21.3 Operacionalmente, a execução do projeto é viável, pois a Secretaria Municipal de Educação possui a estrutura necessária e experiência na coordenação e acompanhamento de processos licitatórios dessa natureza.Além disso, conta com uma equipe qualificada para garantir que os prazos sejam cumpridos e que os materiais entregues atendam aos padrões de qualidade exigidos. 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21.4 A logística de distribuição dos uniformes escolares será organizada de maneira a assegurar que os itens cheguem às escolas de forma eficiente e dentro do cronograma estabelecido.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21.5 No aspecto logístico, o município tem condições de monitorar o processo de entrega dos uniformes escolares, contando com o apoio de transportadoras e fornecedores locais que atendem aos requisitos definidos no processo licitatório. O planejamento logístico será elaborado de forma a minimizar os riscos de atrasos e danos aos materiais, com acompanhamento contínuo das entregas e verificação da qualidade dos itens fornecidos.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21.6 Em termos legais, o processo licitatório será conduzido em conformidade com as disposições da Lei nº 14.133/2021, que regulamenta as licitações e contratos administrativos. Todos os procedimentos legais serão seguidos rigorosamente, garantindo total transparência e adesão às normas aplicáveis.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21.7 Por fim, a viabilidade do projeto está respaldada pela experiência da Prefeitura na execução de iniciativas similares, pela solidez do planejamento orçamentário e pela competência da equipe responsável pela gestão do processo.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21.8 Dessa forma, a AQUISIÇÃO   DE UNIFORMES, TENIS E MOCHILA escolares para o Município de Paranaguá é PLENAMENTE VIÁVEL e será conduzida com </w:t>
      </w:r>
      <w:r>
        <w:rPr>
          <w:rFonts w:cs="Arial" w:ascii="arial" w:hAnsi="arial"/>
          <w:sz w:val="24"/>
          <w:szCs w:val="24"/>
        </w:rPr>
        <w:t>eficiência e responsabilidade, comprometendo-se a atender de maneira eficaz e sustentável às necessidades educacionais dos alunos.</w:t>
      </w:r>
    </w:p>
    <w:p>
      <w:pPr>
        <w:pStyle w:val="ListParagraph"/>
        <w:widowControl/>
        <w:spacing w:lineRule="auto" w:line="360"/>
        <w:ind w:lef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 DAS AMOSTRAS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22.1 Após a etapa de lances, a licitante classificada provisoriamente em primeiro lugar no lote, deverá encaminhar 01 (uma) amostra de cada item constante no lote, conforme especificações a seguir: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01: apresentar amostras para a cada item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02: apresentar amostras para a cada item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lote 03: apresentar amostras para cada item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  <w:u w:val="none"/>
        </w:rPr>
        <w:t xml:space="preserve">lote 04: apresentar amostras de todos os modelos 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para cada segmento(infantil, fundamental e EJA)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lote 05: apresentar amostra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22.2 A(s) amostra(s) deverá(ão) conter etiqueta de identificação, conforme descrito em cada item;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 w:val="false"/>
          <w:bCs w:val="false"/>
          <w:sz w:val="24"/>
          <w:szCs w:val="24"/>
          <w:u w:val="none"/>
        </w:rPr>
        <w:t xml:space="preserve">22.3 O local de entrega das amostras será a 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>Prefeitura Municipal de Paranaguá , Rua Julia da Costa , 322, Centro, setor de Licitação</w:t>
      </w:r>
      <w:r>
        <w:rPr>
          <w:rFonts w:eastAsia="Arial MT" w:cs="Times New Roman" w:ascii="arial" w:hAnsi="arial"/>
          <w:b w:val="false"/>
          <w:bCs w:val="false"/>
          <w:color w:val="000000"/>
          <w:kern w:val="0"/>
          <w:sz w:val="24"/>
          <w:szCs w:val="24"/>
          <w:highlight w:val="yellow"/>
          <w:u w:val="none"/>
          <w:lang w:val="pt-PT" w:eastAsia="en-US" w:bidi="ar-SA"/>
        </w:rPr>
        <w:t xml:space="preserve"> PE xxx/2026</w:t>
      </w:r>
      <w:r>
        <w:rPr>
          <w:rFonts w:eastAsia="Arial MT" w:cs="Times New Roman" w:ascii="arial" w:hAnsi="arial"/>
          <w:b w:val="false"/>
          <w:bCs w:val="false"/>
          <w:color w:val="auto"/>
          <w:kern w:val="0"/>
          <w:sz w:val="24"/>
          <w:szCs w:val="24"/>
          <w:u w:val="none"/>
          <w:lang w:val="pt-PT" w:eastAsia="en-US" w:bidi="ar-SA"/>
        </w:rPr>
        <w:t xml:space="preserve"> – A/C Pregoeira Neuma Beatriz , a mesma deverá receber e enviar para Secretaria de Educação para a Comissão Avaliadora.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22.4 O prazo para entrega das amostras será de 05 dias úteis.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22.5 A análise das amostras será de responsabilidade da Comissão Avaliadora, nomeada exclusivamente para este fim na SEMEDI.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22.6 NÃO SERÁ SOLICITADA PERSONALIZAÇÃO, não sendo obrigatória a apresentação do nome e brasão deste município, sendo ACEITO DE QUALQUER OUTRA MUNICIPALIDADE, desde que atenda na íntegra o edital.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22.7 As amostras apresentadas NÃO SERÃO DEVOLVIDAS, pois serão submetidas à análise e posterior comparação com os entregues pela licitante vencedora.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22.8 Será informado data e horário para realização do procedimento de avaliação das amostras, cuja presença será facultada a todos os interessados, incluindo os demais licitantes.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22.8 No caso de não haver entrega da amostra ou ocorrer atraso na entrega, sem justificativa, ou havendo entrega de amostra fora das especificações previstas neste TR, a proposta do licitante será recusada.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23 CRITÉRIOS DE AVALIAÇÃO DAS AMOSTRAS: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23.1 As peças serão avaliadas pela Secretaria Municipal de Educação, sendo considerado critérios objetivos e visuais de avaliação, tais como: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tabelas de Laudos apresentados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Costuras (pontos soltos, falhados, tortos, tipo de máquina usada)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Tecidos (textura, cor, acabamento)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Estampas (definição, fixação)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Etiquetas (etiqueta do fabricante / fornecedor, composição do tecido)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/>
      </w:pPr>
      <w:r>
        <w:rPr>
          <w:rFonts w:ascii="arial" w:hAnsi="arial"/>
          <w:sz w:val="24"/>
          <w:szCs w:val="24"/>
        </w:rPr>
        <w:t>Aviamentos (qualidade do elástico, linhas, zíperes).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23.2 Caso haja dúvidas, as amostras e seus tecidos e insumos serão enviados para laboratório acreditados pelo INMETRO, de escolha do município, com os custos pagos pela licitante.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23.3 O não atendimento, ou não apresentação de algum item, implicará automaticamente na desclassificação da licitante, e será requisitada amostra das próximas licitantes classificadas com menor preço na etapa de lance, até ser classificada empresa que atenda plenamente as exigências do edital.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24 JUSTIFICATIVA PARA O PEDIDO DE AMOSTRA: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24.1 A solicitação de amostras dos produtos a serem contratados através deste pregão é uma medida adotada pela Administração Pública com o objetivo de assegurar a adequação dos bens às especificações técnicas e aos padrões de qualidade exigidos pelo edital. Esta exigência é fundamentada na necessidade de garantir que os produtos ofertados pelos licitantes atendam plenamente às necessidades e expectativas da Administração, bem como à legislação aplicável, especialmente em termos de segurança, eficácia, durabilidade e funcionalidade.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24.2 A decisão de requerer amostras baseia-se nos seguintes princípios e justificativas: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Verificação da Conformidade: A análise de amostras permite à Administração verificar diretamente se os produtos ofertados estão em conformidade com as especificações detalhadas no edital. 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Qualidade e Desempenho: O pedido de amostras tem como objetivo assegurar que os produtos possuam a qualidade e o desempenho esperados, prevenindo a aquisição de itens de qualidade inferior que poderiam resultar em prejuízos financeiros e operacionais para a Administração Pública.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Padronização: Em processos licitatórios que envolvem a aquisição de bens com características técnicas específicas, a avaliação de amostras contribui para a padronização dos itens adquiridos, garantindo a compatibilidade necessárias para a manutenção e operação eficiente dos bens.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Transparência e Imparcialidade: A solicitação de amostras assegura um processo de seleção mais transparente e imparcial, permitindo uma avaliação objetiva dos produtos ofertados, baseada em critérios técnicos claros e precisos.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Proteção ao Interesse Público: A medida visa proteger o interesse público, assegurando que os recursos públicos sejam empregados de maneira eficiente na aquisição de produtos que atendam às necessidades da Administração, contribuindo para a entrega de serviços públicos de qualidade à população.</w:t>
      </w:r>
    </w:p>
    <w:p>
      <w:pPr>
        <w:pStyle w:val="Normal"/>
        <w:spacing w:lineRule="auto" w:line="36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24.3 Portanto, a solicitação de amostras constitui um procedimento justificado e necessário, adotado para garantir a seleção de produtos que atendam às melhores condições de custo-benefício para a Administração Pública, em consonância com os objetivos de eficiência e eficácia na gestão dos recursos públicos.</w:t>
      </w:r>
    </w:p>
    <w:p>
      <w:pPr>
        <w:pStyle w:val="ListParagraph"/>
        <w:spacing w:lineRule="auto" w:line="360"/>
        <w:ind w:left="1080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</w:r>
    </w:p>
    <w:p>
      <w:pPr>
        <w:pStyle w:val="Normal"/>
        <w:widowControl/>
        <w:shd w:val="clear" w:color="auto" w:fill="D9D9D9"/>
        <w:spacing w:lineRule="auto" w:line="360" w:before="0" w:after="160"/>
        <w:contextualSpacing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22 DOS ANEXOS </w:t>
      </w:r>
    </w:p>
    <w:p>
      <w:pPr>
        <w:pStyle w:val="ListParagraph"/>
        <w:spacing w:lineRule="auto" w:line="360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360"/>
        <w:ind w:left="122" w:hanging="0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360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360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360"/>
        <w:rPr/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ANEXO I –  QUANTITATIVA E VALORES</w:t>
      </w:r>
    </w:p>
    <w:p>
      <w:pPr>
        <w:pStyle w:val="Normal"/>
        <w:spacing w:lineRule="auto" w:line="360"/>
        <w:jc w:val="right"/>
        <w:rPr>
          <w:rFonts w:ascii="Times New Roman" w:hAnsi="Times New Roman" w:cs="Times New Roman"/>
          <w:b/>
          <w:b/>
        </w:rPr>
      </w:pPr>
      <w: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553835" cy="6426835"/>
            <wp:effectExtent l="0" t="0" r="0" b="0"/>
            <wp:wrapSquare wrapText="largest"/>
            <wp:docPr id="2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6426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b/>
          <w:sz w:val="24"/>
          <w:szCs w:val="24"/>
        </w:rPr>
        <w:t>P</w:t>
      </w:r>
      <w:r>
        <w:rPr>
          <w:rFonts w:cs="Times New Roman" w:ascii="Times New Roman" w:hAnsi="Times New Roman"/>
          <w:b/>
          <w:sz w:val="24"/>
          <w:szCs w:val="24"/>
        </w:rPr>
        <w:t>aranaguá/PR, 30 de Abril de 2026</w:t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20"/>
          <w:tab w:val="left" w:pos="1740" w:leader="none"/>
          <w:tab w:val="center" w:pos="4820" w:leader="none"/>
          <w:tab w:val="left" w:pos="7938" w:leader="none"/>
        </w:tabs>
        <w:spacing w:lineRule="auto" w:line="360" w:before="56" w:after="0"/>
        <w:ind w:left="284" w:right="614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Onormal"/>
        <w:jc w:val="center"/>
        <w:rPr/>
      </w:pPr>
      <w:r>
        <w:rPr>
          <w:rFonts w:ascii="arial" w:hAnsi="arial"/>
          <w:sz w:val="24"/>
          <w:szCs w:val="24"/>
        </w:rPr>
        <w:t>Thiago Casas do Nascimento</w:t>
      </w:r>
    </w:p>
    <w:p>
      <w:pPr>
        <w:pStyle w:val="LOnormal"/>
        <w:spacing w:lineRule="auto" w:line="360" w:before="94" w:after="0"/>
        <w:ind w:left="174" w:right="607" w:hanging="0"/>
        <w:jc w:val="center"/>
        <w:rPr>
          <w:rFonts w:ascii="Times New Roman" w:hAnsi="Times New Roman" w:cs="Times New Roman"/>
        </w:rPr>
      </w:pPr>
      <w:r>
        <w:rPr>
          <w:rFonts w:cs="Times New Roman" w:ascii="arial" w:hAnsi="arial"/>
          <w:sz w:val="24"/>
          <w:szCs w:val="24"/>
        </w:rPr>
        <w:t>Secretário Municipal de Educação</w:t>
      </w:r>
    </w:p>
    <w:p>
      <w:pPr>
        <w:pStyle w:val="Ttulo1"/>
        <w:spacing w:lineRule="auto" w:line="360" w:before="94" w:after="0"/>
        <w:ind w:left="174" w:right="607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360" w:before="94" w:after="0"/>
        <w:ind w:left="174" w:right="607" w:hanging="0"/>
        <w:jc w:val="center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ListParagraph"/>
        <w:spacing w:lineRule="auto" w:line="360" w:before="94" w:after="0"/>
        <w:ind w:left="122" w:right="607" w:hanging="0"/>
        <w:jc w:val="center"/>
        <w:rPr/>
      </w:pPr>
      <w:r>
        <w:rPr/>
      </w:r>
    </w:p>
    <w:sectPr>
      <w:headerReference w:type="default" r:id="rId4"/>
      <w:type w:val="nextPage"/>
      <w:pgSz w:w="11930" w:h="16860"/>
      <w:pgMar w:left="1245" w:right="1505" w:header="1600" w:top="2139" w:footer="0" w:bottom="3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 MT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1" allowOverlap="1" relativeHeight="33">
          <wp:simplePos x="0" y="0"/>
          <wp:positionH relativeFrom="column">
            <wp:posOffset>3105150</wp:posOffset>
          </wp:positionH>
          <wp:positionV relativeFrom="paragraph">
            <wp:posOffset>-408940</wp:posOffset>
          </wp:positionV>
          <wp:extent cx="2809875" cy="621665"/>
          <wp:effectExtent l="0" t="0" r="0" b="0"/>
          <wp:wrapNone/>
          <wp:docPr id="3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4" r="-5" b="-2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21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390" w:hanging="269"/>
      <w:outlineLvl w:val="0"/>
    </w:pPr>
    <w:rPr>
      <w:rFonts w:ascii="Arial" w:hAnsi="Arial" w:eastAsia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 w:val="true"/>
      <w:keepLines/>
      <w:spacing w:before="40" w:after="0"/>
      <w:outlineLvl w:val="1"/>
    </w:pPr>
    <w:rPr>
      <w:rFonts w:ascii="Cambria" w:hAnsi="Cambria" w:eastAsia="Calibri" w:cs="DejaVu Sans"/>
      <w:color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qFormat/>
    <w:rPr>
      <w:rFonts w:ascii="Arial MT" w:hAnsi="Arial MT" w:eastAsia="Arial MT" w:cs="Arial MT"/>
      <w:lang w:val="pt-PT"/>
    </w:rPr>
  </w:style>
  <w:style w:type="character" w:styleId="RodapChar" w:customStyle="1">
    <w:name w:val="Rodapé Char"/>
    <w:basedOn w:val="DefaultParagraphFont"/>
    <w:qFormat/>
    <w:rPr>
      <w:rFonts w:ascii="Arial MT" w:hAnsi="Arial MT" w:eastAsia="Arial MT" w:cs="Arial MT"/>
      <w:lang w:val="pt-PT"/>
    </w:rPr>
  </w:style>
  <w:style w:type="character" w:styleId="CorpodetextoChar" w:customStyle="1">
    <w:name w:val="Corpo de texto Char"/>
    <w:basedOn w:val="DefaultParagraphFont"/>
    <w:qFormat/>
    <w:rPr>
      <w:rFonts w:ascii="Arial MT" w:hAnsi="Arial MT" w:eastAsia="Arial MT" w:cs="Arial MT"/>
      <w:sz w:val="24"/>
      <w:szCs w:val="24"/>
      <w:lang w:val="pt-PT"/>
    </w:rPr>
  </w:style>
  <w:style w:type="character" w:styleId="TextodebaloChar" w:customStyle="1">
    <w:name w:val="Texto de balão Char"/>
    <w:basedOn w:val="DefaultParagraphFont"/>
    <w:qFormat/>
    <w:rPr>
      <w:rFonts w:ascii="Tahoma" w:hAnsi="Tahoma" w:eastAsia="Arial MT" w:cs="Tahoma"/>
      <w:sz w:val="16"/>
      <w:szCs w:val="16"/>
      <w:lang w:val="pt-PT"/>
    </w:rPr>
  </w:style>
  <w:style w:type="character" w:styleId="Nfase">
    <w:name w:val="Ênfase"/>
    <w:basedOn w:val="DefaultParagraphFont"/>
    <w:qFormat/>
    <w:rPr>
      <w:i/>
      <w:iCs/>
    </w:rPr>
  </w:style>
  <w:style w:type="character" w:styleId="Strong">
    <w:name w:val="Strong"/>
    <w:basedOn w:val="DefaultParagraphFont"/>
    <w:qFormat/>
    <w:rPr>
      <w:b/>
      <w:bCs/>
    </w:rPr>
  </w:style>
  <w:style w:type="character" w:styleId="Ttulo2Char" w:customStyle="1">
    <w:name w:val="Título 2 Char"/>
    <w:basedOn w:val="DefaultParagraphFont"/>
    <w:qFormat/>
    <w:rPr>
      <w:rFonts w:ascii="Cambria" w:hAnsi="Cambria" w:eastAsia="Calibri" w:cs="DejaVu Sans"/>
      <w:color w:val="365F91"/>
      <w:sz w:val="26"/>
      <w:szCs w:val="26"/>
      <w:lang w:val="pt-PT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122" w:hanging="0"/>
    </w:pPr>
    <w:rPr/>
  </w:style>
  <w:style w:type="paragraph" w:styleId="TableParagraph" w:customStyle="1">
    <w:name w:val="Table Paragraph"/>
    <w:basedOn w:val="Normal"/>
    <w:qFormat/>
    <w:pPr>
      <w:ind w:left="107" w:hanging="0"/>
    </w:pPr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en-US" w:bidi="ar-SA"/>
    </w:rPr>
  </w:style>
  <w:style w:type="paragraph" w:styleId="NormalWeb">
    <w:name w:val="Normal (Web)"/>
    <w:basedOn w:val="Normal"/>
    <w:qFormat/>
    <w:pPr>
      <w:widowControl/>
      <w:spacing w:before="280" w:after="280"/>
    </w:pPr>
    <w:rPr>
      <w:rFonts w:ascii="Times New Roman" w:hAnsi="Times New Roman" w:eastAsia="Times New Roman" w:cs="Times New Roman"/>
      <w:sz w:val="20"/>
      <w:szCs w:val="24"/>
      <w:lang w:val="pt-BR" w:eastAsia="pt-BR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LOnormal">
    <w:name w:val="LO-normal"/>
    <w:basedOn w:val="ListParagraph"/>
    <w:qFormat/>
    <w:pPr/>
    <w:rPr/>
  </w:style>
  <w:style w:type="paragraph" w:styleId="Citaes">
    <w:name w:val="Citações"/>
    <w:basedOn w:val="Normal"/>
    <w:qFormat/>
    <w:pPr>
      <w:spacing w:before="0" w:after="283"/>
      <w:ind w:left="567" w:righ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Application>LibreOffice/6.4.7.2$Linux_X86_64 LibreOffice_project/40$Build-2</Application>
  <Pages>30</Pages>
  <Words>8166</Words>
  <Characters>48552</Characters>
  <CharactersWithSpaces>56445</CharactersWithSpaces>
  <Paragraphs>320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2025-11-04T12:47:00Z</dcterms:created>
  <dc:creator>Jean Andre Nascimento</dc:creator>
  <dc:description/>
  <dc:language>pt-BR</dc:language>
  <cp:lastModifiedBy/>
  <cp:lastPrinted>2026-04-30T15:33:44Z</cp:lastPrinted>
  <dcterms:modified xsi:type="dcterms:W3CDTF">2026-05-12T19:51:19Z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2023-10-26T00:00:00Z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2024-01-19T00:00:00Z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